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2425D5">
      <w:pPr>
        <w:ind w:firstLine="480"/>
        <w:rPr>
          <w:color w:val="000000"/>
          <w:lang w:eastAsia="zh-CN"/>
        </w:rPr>
      </w:pPr>
      <w:r>
        <w:rPr>
          <w:rFonts w:hint="eastAsia"/>
          <w:color w:val="000000"/>
          <w:lang w:eastAsia="zh-CN" w:bidi="ar-SA"/>
        </w:rPr>
        <w:drawing>
          <wp:anchor distT="0" distB="0" distL="114300" distR="114300" simplePos="0" relativeHeight="251660288" behindDoc="0" locked="0" layoutInCell="1" allowOverlap="1">
            <wp:simplePos x="0" y="0"/>
            <wp:positionH relativeFrom="page">
              <wp:posOffset>5313680</wp:posOffset>
            </wp:positionH>
            <wp:positionV relativeFrom="page">
              <wp:posOffset>815975</wp:posOffset>
            </wp:positionV>
            <wp:extent cx="956310" cy="872490"/>
            <wp:effectExtent l="0" t="0" r="0" b="0"/>
            <wp:wrapNone/>
            <wp:docPr id="5"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logo"/>
                    <pic:cNvPicPr>
                      <a:picLocks noChangeAspect="1" noChangeArrowheads="1"/>
                    </pic:cNvPicPr>
                  </pic:nvPicPr>
                  <pic:blipFill>
                    <a:blip r:embed="rId10">
                      <a:clrChange>
                        <a:clrFrom>
                          <a:srgbClr val="E7F7EA"/>
                        </a:clrFrom>
                        <a:clrTo>
                          <a:srgbClr val="E7F7EA">
                            <a:alpha val="0"/>
                          </a:srgbClr>
                        </a:clrTo>
                      </a:clrChange>
                      <a:extLst>
                        <a:ext uri="{28A0092B-C50C-407E-A947-70E740481C1C}">
                          <a14:useLocalDpi xmlns:a14="http://schemas.microsoft.com/office/drawing/2010/main" val="0"/>
                        </a:ext>
                      </a:extLst>
                    </a:blip>
                    <a:srcRect/>
                    <a:stretch>
                      <a:fillRect/>
                    </a:stretch>
                  </pic:blipFill>
                  <pic:spPr>
                    <a:xfrm>
                      <a:off x="0" y="0"/>
                      <a:ext cx="956310" cy="872490"/>
                    </a:xfrm>
                    <a:prstGeom prst="rect">
                      <a:avLst/>
                    </a:prstGeom>
                    <a:noFill/>
                    <a:ln>
                      <a:noFill/>
                    </a:ln>
                    <a:effectLst/>
                  </pic:spPr>
                </pic:pic>
              </a:graphicData>
            </a:graphic>
          </wp:anchor>
        </w:drawing>
      </w:r>
      <w:r>
        <w:rPr>
          <w:color w:val="000000"/>
          <w:lang w:eastAsia="zh-CN"/>
        </w:rPr>
        <w:t>ICS 65.020.30</w:t>
      </w:r>
    </w:p>
    <w:p w14:paraId="1160907C">
      <w:pPr>
        <w:ind w:firstLine="480"/>
        <w:rPr>
          <w:color w:val="000000"/>
          <w:lang w:eastAsia="zh-CN"/>
        </w:rPr>
      </w:pPr>
      <w:r>
        <w:rPr>
          <w:rFonts w:hint="eastAsia"/>
          <w:color w:val="000000"/>
          <w:lang w:eastAsia="zh-CN"/>
        </w:rPr>
        <w:t xml:space="preserve">CCS </w:t>
      </w:r>
      <w:r>
        <w:rPr>
          <w:color w:val="000000"/>
          <w:lang w:eastAsia="zh-CN"/>
        </w:rPr>
        <w:t xml:space="preserve">B44 </w:t>
      </w:r>
    </w:p>
    <w:p w14:paraId="4C4DA805">
      <w:pPr>
        <w:ind w:firstLine="480"/>
        <w:jc w:val="right"/>
        <w:rPr>
          <w:color w:val="000000"/>
          <w:lang w:eastAsia="zh-CN"/>
        </w:rPr>
      </w:pPr>
    </w:p>
    <w:p w14:paraId="348F8521">
      <w:pPr>
        <w:ind w:firstLine="480"/>
        <w:jc w:val="right"/>
        <w:rPr>
          <w:color w:val="000000"/>
          <w:lang w:eastAsia="zh-CN"/>
        </w:rPr>
      </w:pPr>
    </w:p>
    <w:p w14:paraId="1C1EBCCD">
      <w:pPr>
        <w:ind w:firstLine="480"/>
        <w:jc w:val="right"/>
        <w:rPr>
          <w:color w:val="000000"/>
          <w:lang w:eastAsia="zh-CN"/>
        </w:rPr>
      </w:pPr>
    </w:p>
    <w:p w14:paraId="36EC0B59">
      <w:pPr>
        <w:ind w:left="240" w:leftChars="100"/>
        <w:jc w:val="distribute"/>
        <w:rPr>
          <w:rFonts w:hint="eastAsia" w:ascii="微软雅黑" w:hAnsi="微软雅黑" w:eastAsia="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73A61C12">
      <w:pPr>
        <w:ind w:firstLine="480"/>
        <w:rPr>
          <w:color w:val="000000"/>
          <w:lang w:eastAsia="zh-CN"/>
        </w:rPr>
      </w:pPr>
    </w:p>
    <w:p w14:paraId="02C44E9B">
      <w:pPr>
        <w:ind w:firstLine="480"/>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5348C40B">
      <w:pPr>
        <w:ind w:firstLine="480"/>
        <w:rPr>
          <w:color w:val="000000"/>
          <w:u w:val="single"/>
          <w:lang w:eastAsia="zh-CN"/>
        </w:rPr>
      </w:pPr>
      <w:r>
        <w:rPr>
          <w:color w:val="000000"/>
          <w:u w:val="single"/>
          <w:lang w:eastAsia="zh-CN"/>
        </w:rPr>
        <w:t xml:space="preserve">                                                                                           </w:t>
      </w:r>
    </w:p>
    <w:p w14:paraId="0FA44B99">
      <w:pPr>
        <w:ind w:firstLine="480"/>
        <w:rPr>
          <w:color w:val="000000"/>
          <w:lang w:eastAsia="zh-CN"/>
        </w:rPr>
      </w:pPr>
    </w:p>
    <w:p w14:paraId="6335E9F4">
      <w:pPr>
        <w:ind w:firstLine="480"/>
        <w:rPr>
          <w:color w:val="000000"/>
          <w:lang w:eastAsia="zh-CN"/>
        </w:rPr>
      </w:pPr>
    </w:p>
    <w:p w14:paraId="6F3440D2">
      <w:pPr>
        <w:pStyle w:val="2"/>
        <w:jc w:val="center"/>
        <w:rPr>
          <w:rFonts w:ascii="黑体" w:hAnsi="黑体" w:eastAsia="黑体" w:cs="黑体"/>
          <w:sz w:val="48"/>
          <w:szCs w:val="48"/>
          <w:lang w:eastAsia="zh-CN"/>
        </w:rPr>
      </w:pPr>
      <w:r>
        <w:rPr>
          <w:rFonts w:hint="eastAsia" w:ascii="黑体" w:hAnsi="黑体" w:eastAsia="黑体" w:cs="黑体"/>
          <w:sz w:val="48"/>
          <w:szCs w:val="48"/>
          <w:lang w:eastAsia="zh-CN"/>
        </w:rPr>
        <w:t>实验动物 肺纤维化动物模型制备与评价规范</w:t>
      </w:r>
    </w:p>
    <w:p w14:paraId="4C357113">
      <w:pPr>
        <w:ind w:firstLine="640"/>
        <w:rPr>
          <w:rFonts w:ascii="黑体" w:eastAsia="黑体"/>
          <w:color w:val="000000"/>
          <w:spacing w:val="40"/>
          <w:lang w:eastAsia="zh-CN"/>
        </w:rPr>
      </w:pPr>
    </w:p>
    <w:p w14:paraId="56AA24E6">
      <w:pPr>
        <w:jc w:val="center"/>
        <w:rPr>
          <w:color w:val="000000"/>
        </w:rPr>
      </w:pPr>
      <w:r>
        <w:rPr>
          <w:color w:val="000000"/>
        </w:rPr>
        <w:t>Laboratory animal-Standard for preparation and evaluation of pulmonary fibrosis animal model</w:t>
      </w:r>
    </w:p>
    <w:p w14:paraId="6F2B0CF0">
      <w:pPr>
        <w:ind w:firstLine="3080" w:firstLineChars="1100"/>
        <w:jc w:val="both"/>
        <w:rPr>
          <w:color w:val="000000"/>
          <w:sz w:val="28"/>
          <w:szCs w:val="28"/>
          <w:lang w:eastAsia="zh-CN"/>
        </w:rPr>
      </w:pPr>
      <w:r>
        <w:rPr>
          <w:rFonts w:hint="eastAsia"/>
          <w:color w:val="000000"/>
          <w:sz w:val="28"/>
          <w:szCs w:val="28"/>
          <w:lang w:eastAsia="zh-CN"/>
        </w:rPr>
        <w:t>（征求意见稿）</w:t>
      </w:r>
    </w:p>
    <w:p w14:paraId="4726384B">
      <w:pPr>
        <w:ind w:firstLine="480"/>
        <w:rPr>
          <w:color w:val="000000"/>
        </w:rPr>
      </w:pPr>
    </w:p>
    <w:p w14:paraId="20FD1D72">
      <w:pPr>
        <w:ind w:firstLine="600"/>
        <w:jc w:val="center"/>
        <w:rPr>
          <w:color w:val="000000"/>
          <w:sz w:val="30"/>
          <w:szCs w:val="30"/>
          <w:lang w:eastAsia="zh-CN"/>
        </w:rPr>
      </w:pPr>
    </w:p>
    <w:p w14:paraId="446FDBE4">
      <w:pPr>
        <w:ind w:firstLine="480"/>
        <w:rPr>
          <w:color w:val="000000"/>
          <w:lang w:eastAsia="zh-CN"/>
        </w:rPr>
      </w:pPr>
    </w:p>
    <w:p w14:paraId="34DDA902">
      <w:pPr>
        <w:ind w:firstLine="480"/>
        <w:rPr>
          <w:color w:val="000000"/>
          <w:lang w:eastAsia="zh-CN"/>
        </w:rPr>
      </w:pPr>
    </w:p>
    <w:p w14:paraId="507C33FB">
      <w:pPr>
        <w:ind w:firstLine="480"/>
        <w:rPr>
          <w:color w:val="000000"/>
          <w:lang w:eastAsia="zh-CN"/>
        </w:rPr>
      </w:pPr>
    </w:p>
    <w:p w14:paraId="6863130A">
      <w:pPr>
        <w:ind w:firstLine="480"/>
        <w:rPr>
          <w:color w:val="000000"/>
          <w:lang w:eastAsia="zh-CN"/>
        </w:rPr>
      </w:pPr>
    </w:p>
    <w:p w14:paraId="79D2C574">
      <w:pPr>
        <w:ind w:firstLine="480"/>
        <w:rPr>
          <w:color w:val="000000"/>
          <w:lang w:eastAsia="zh-CN"/>
        </w:rPr>
      </w:pPr>
    </w:p>
    <w:p w14:paraId="5AE944C3">
      <w:pPr>
        <w:ind w:firstLine="480"/>
        <w:rPr>
          <w:color w:val="000000"/>
          <w:lang w:eastAsia="zh-CN"/>
        </w:rPr>
      </w:pPr>
    </w:p>
    <w:p w14:paraId="68F383EB">
      <w:pPr>
        <w:ind w:firstLine="480"/>
        <w:rPr>
          <w:color w:val="000000"/>
          <w:lang w:eastAsia="zh-CN"/>
        </w:rPr>
      </w:pPr>
    </w:p>
    <w:p w14:paraId="0AFF735D">
      <w:pPr>
        <w:ind w:firstLine="480"/>
        <w:rPr>
          <w:color w:val="000000"/>
          <w:lang w:eastAsia="zh-CN"/>
        </w:rPr>
      </w:pPr>
    </w:p>
    <w:p w14:paraId="0DAC721C">
      <w:pPr>
        <w:ind w:firstLine="480"/>
        <w:rPr>
          <w:color w:val="000000"/>
          <w:lang w:eastAsia="zh-CN"/>
        </w:rPr>
      </w:pPr>
    </w:p>
    <w:p w14:paraId="10AEF45F">
      <w:pPr>
        <w:ind w:firstLine="480"/>
        <w:rPr>
          <w:color w:val="000000"/>
          <w:lang w:eastAsia="zh-CN"/>
        </w:rPr>
      </w:pPr>
    </w:p>
    <w:p w14:paraId="21B47055">
      <w:pPr>
        <w:ind w:firstLine="480"/>
        <w:rPr>
          <w:color w:val="000000"/>
          <w:lang w:eastAsia="zh-CN"/>
        </w:rPr>
      </w:pPr>
    </w:p>
    <w:p w14:paraId="1587FE1A">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实施</w:t>
      </w:r>
    </w:p>
    <w:p w14:paraId="4D4C48C0">
      <w:pPr>
        <w:ind w:firstLine="720"/>
        <w:jc w:val="center"/>
        <w:rPr>
          <w:rFonts w:ascii="仿宋_GB2312" w:eastAsia="仿宋_GB2312"/>
          <w:color w:val="000000"/>
          <w:w w:val="150"/>
          <w:lang w:eastAsia="zh-CN"/>
        </w:rPr>
      </w:pPr>
    </w:p>
    <w:tbl>
      <w:tblPr>
        <w:tblStyle w:val="22"/>
        <w:tblW w:w="0" w:type="auto"/>
        <w:jc w:val="center"/>
        <w:tblLayout w:type="fixed"/>
        <w:tblCellMar>
          <w:top w:w="0" w:type="dxa"/>
          <w:left w:w="108" w:type="dxa"/>
          <w:bottom w:w="0" w:type="dxa"/>
          <w:right w:w="108" w:type="dxa"/>
        </w:tblCellMar>
      </w:tblPr>
      <w:tblGrid>
        <w:gridCol w:w="6637"/>
        <w:gridCol w:w="964"/>
      </w:tblGrid>
      <w:tr w14:paraId="79FD347A">
        <w:tblPrEx>
          <w:tblCellMar>
            <w:top w:w="0" w:type="dxa"/>
            <w:left w:w="108" w:type="dxa"/>
            <w:bottom w:w="0" w:type="dxa"/>
            <w:right w:w="108" w:type="dxa"/>
          </w:tblCellMar>
        </w:tblPrEx>
        <w:trPr>
          <w:trHeight w:val="832" w:hRule="atLeast"/>
          <w:jc w:val="center"/>
        </w:trPr>
        <w:tc>
          <w:tcPr>
            <w:tcW w:w="6637" w:type="dxa"/>
          </w:tcPr>
          <w:p w14:paraId="5E46BF28">
            <w:pPr>
              <w:pStyle w:val="13"/>
              <w:ind w:firstLine="960"/>
              <w:jc w:val="center"/>
              <w:rPr>
                <w:rFonts w:ascii="Times New Roman" w:hAnsi="Times New Roman" w:eastAsia="仿宋_GB2312"/>
                <w:color w:val="000000"/>
                <w:w w:val="150"/>
                <w:sz w:val="32"/>
                <w:szCs w:val="32"/>
                <w:lang w:eastAsia="zh-CN" w:bidi="en-US"/>
              </w:rPr>
            </w:pPr>
            <w:r>
              <w:rPr>
                <w:rFonts w:hint="eastAsia" w:ascii="黑体" w:hAnsi="黑体" w:eastAsia="黑体" w:cs="黑体"/>
                <w:color w:val="000000"/>
                <w:w w:val="150"/>
                <w:sz w:val="32"/>
                <w:szCs w:val="32"/>
                <w:lang w:eastAsia="zh-CN" w:bidi="en-US"/>
              </w:rPr>
              <w:t>中国实验动物学会 发布</w:t>
            </w:r>
          </w:p>
        </w:tc>
        <w:tc>
          <w:tcPr>
            <w:tcW w:w="964" w:type="dxa"/>
            <w:vAlign w:val="center"/>
          </w:tcPr>
          <w:p w14:paraId="2B8243D0">
            <w:pPr>
              <w:pStyle w:val="13"/>
              <w:spacing w:line="160" w:lineRule="atLeast"/>
              <w:ind w:firstLine="630"/>
              <w:rPr>
                <w:rFonts w:ascii="Times New Roman" w:hAnsi="Times New Roman" w:eastAsia="仿宋_GB2312"/>
                <w:color w:val="000000"/>
                <w:w w:val="150"/>
                <w:lang w:eastAsia="zh-CN" w:bidi="en-US"/>
              </w:rPr>
            </w:pPr>
          </w:p>
        </w:tc>
      </w:tr>
    </w:tbl>
    <w:p w14:paraId="33FE5F33">
      <w:pPr>
        <w:ind w:firstLine="720"/>
        <w:jc w:val="center"/>
        <w:rPr>
          <w:rFonts w:ascii="仿宋_GB2312" w:eastAsia="仿宋_GB2312"/>
          <w:color w:val="000000"/>
          <w:w w:val="150"/>
          <w:lang w:eastAsia="zh-CN"/>
        </w:rPr>
      </w:pPr>
    </w:p>
    <w:p w14:paraId="10D78230">
      <w:pPr>
        <w:ind w:firstLine="560"/>
        <w:jc w:val="center"/>
        <w:rPr>
          <w:rFonts w:ascii="黑体" w:eastAsia="黑体"/>
          <w:color w:val="000000"/>
          <w:sz w:val="28"/>
          <w:szCs w:val="28"/>
          <w:lang w:eastAsia="zh-CN"/>
        </w:rPr>
        <w:sectPr>
          <w:headerReference r:id="rId5" w:type="first"/>
          <w:footerReference r:id="rId7" w:type="first"/>
          <w:headerReference r:id="rId3" w:type="default"/>
          <w:footerReference r:id="rId6" w:type="default"/>
          <w:headerReference r:id="rId4" w:type="even"/>
          <w:pgSz w:w="11906" w:h="16838"/>
          <w:pgMar w:top="1440" w:right="1797" w:bottom="1440" w:left="1797" w:header="851" w:footer="992" w:gutter="0"/>
          <w:pgNumType w:start="0"/>
          <w:cols w:space="720" w:num="1"/>
          <w:titlePg/>
          <w:docGrid w:type="linesAndChars" w:linePitch="312" w:charSpace="0"/>
        </w:sectPr>
      </w:pPr>
    </w:p>
    <w:p w14:paraId="37B4848C">
      <w:pPr>
        <w:ind w:firstLine="680"/>
        <w:jc w:val="center"/>
        <w:rPr>
          <w:color w:val="000000"/>
          <w:spacing w:val="50"/>
          <w:lang w:eastAsia="zh-CN"/>
        </w:rPr>
      </w:pPr>
    </w:p>
    <w:p w14:paraId="2300BE2D">
      <w:pPr>
        <w:ind w:firstLine="640"/>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14:paraId="7DD7C10F">
      <w:pPr>
        <w:ind w:firstLine="480"/>
        <w:rPr>
          <w:color w:val="000000"/>
          <w:lang w:eastAsia="zh-CN"/>
        </w:rPr>
      </w:pPr>
    </w:p>
    <w:p w14:paraId="6FA301B3">
      <w:pPr>
        <w:pStyle w:val="12"/>
        <w:spacing w:line="360" w:lineRule="auto"/>
        <w:ind w:firstLine="420"/>
        <w:rPr>
          <w:rFonts w:hint="default" w:ascii="Times New Roman" w:hAnsi="Times New Roman" w:eastAsia="宋体" w:cs="Times New Roman"/>
          <w:lang w:eastAsia="zh-CN"/>
        </w:rPr>
      </w:pPr>
      <w:r>
        <w:rPr>
          <w:rFonts w:hint="default" w:ascii="Times New Roman" w:hAnsi="Times New Roman" w:eastAsia="宋体" w:cs="Times New Roman"/>
          <w:lang w:eastAsia="zh-CN"/>
        </w:rPr>
        <w:t>本文件按照GB/T 1.1</w:t>
      </w:r>
      <w:r>
        <w:rPr>
          <w:rFonts w:hint="default" w:ascii="Times New Roman" w:hAnsi="Times New Roman" w:eastAsia="宋体" w:cs="Times New Roman"/>
          <w:spacing w:val="-4"/>
          <w:lang w:eastAsia="zh-CN"/>
        </w:rPr>
        <w:t>—</w:t>
      </w:r>
      <w:r>
        <w:rPr>
          <w:rFonts w:hint="default" w:ascii="Times New Roman" w:hAnsi="Times New Roman" w:eastAsia="宋体" w:cs="Times New Roman"/>
          <w:lang w:eastAsia="zh-CN"/>
        </w:rPr>
        <w:t>2020《标准化工作导则  第1部分：标准化文件的结构和起草规则》的规定起草。</w:t>
      </w:r>
    </w:p>
    <w:p w14:paraId="43BC1E41">
      <w:pPr>
        <w:pStyle w:val="12"/>
        <w:spacing w:line="360" w:lineRule="auto"/>
        <w:ind w:firstLine="420"/>
        <w:rPr>
          <w:rFonts w:hint="default" w:ascii="Times New Roman" w:hAnsi="Times New Roman" w:eastAsia="宋体" w:cs="Times New Roman"/>
          <w:lang w:eastAsia="zh-CN"/>
        </w:rPr>
      </w:pPr>
      <w:r>
        <w:rPr>
          <w:rFonts w:hint="default" w:ascii="Times New Roman" w:hAnsi="Times New Roman" w:eastAsia="宋体" w:cs="Times New Roman"/>
          <w:color w:val="000000"/>
          <w:lang w:eastAsia="zh-CN"/>
        </w:rPr>
        <w:t>请注意本文件的某些内容可能涉及专利。本文件的发布机构不承担识别专利的责任。</w:t>
      </w:r>
    </w:p>
    <w:p w14:paraId="1029EE16">
      <w:pPr>
        <w:spacing w:line="360" w:lineRule="auto"/>
        <w:ind w:firstLine="42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本文件由中国实验动物学会归口。</w:t>
      </w:r>
    </w:p>
    <w:p w14:paraId="35ED68A7">
      <w:pPr>
        <w:spacing w:line="360" w:lineRule="auto"/>
        <w:ind w:firstLine="42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本文件由全国实验动物标准化技术委员会（SAC/TC281）技术审查。</w:t>
      </w:r>
    </w:p>
    <w:p w14:paraId="3992E67F">
      <w:pPr>
        <w:spacing w:line="360" w:lineRule="auto"/>
        <w:ind w:firstLine="42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本文件由中国实验动物学会实验动物标准化专业委员会提出并组织起草。</w:t>
      </w:r>
    </w:p>
    <w:p w14:paraId="3DC4A746">
      <w:pPr>
        <w:spacing w:line="360" w:lineRule="auto"/>
        <w:ind w:firstLine="42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本文件起草单位：中国中医科学院中药研究所、北京中医药大学中药学院、山东中医药大学创新研究院和江西中医药大学中医学院。</w:t>
      </w:r>
    </w:p>
    <w:p w14:paraId="2BAF42A7">
      <w:pPr>
        <w:spacing w:line="360" w:lineRule="auto"/>
        <w:ind w:firstLine="42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本文件主要起草人：</w:t>
      </w:r>
      <w:r>
        <w:rPr>
          <w:rFonts w:hint="default" w:ascii="Times New Roman" w:hAnsi="Times New Roman" w:eastAsia="宋体" w:cs="Times New Roman"/>
          <w:sz w:val="21"/>
          <w:szCs w:val="21"/>
          <w:lang w:eastAsia="zh-CN"/>
        </w:rPr>
        <w:t>张广平、高云航、张硕峰、朱庆均、孙有智、宋玲、李晗、刘传国、赵益、侯红平、彭博、陈颖、陈腾飞、陈韡亚。</w:t>
      </w:r>
    </w:p>
    <w:p w14:paraId="7A12D3C1">
      <w:pPr>
        <w:spacing w:line="360" w:lineRule="auto"/>
        <w:ind w:firstLine="480"/>
        <w:rPr>
          <w:rFonts w:hint="default" w:ascii="Times New Roman" w:hAnsi="Times New Roman" w:eastAsia="宋体" w:cs="Times New Roman"/>
          <w:color w:val="000000"/>
          <w:lang w:eastAsia="zh-CN"/>
        </w:rPr>
      </w:pPr>
    </w:p>
    <w:p w14:paraId="4BA8C8A1">
      <w:pPr>
        <w:spacing w:line="360" w:lineRule="auto"/>
        <w:ind w:firstLine="480"/>
        <w:rPr>
          <w:color w:val="000000"/>
          <w:lang w:eastAsia="zh-CN"/>
        </w:rPr>
      </w:pPr>
    </w:p>
    <w:p w14:paraId="1C9881E9">
      <w:pPr>
        <w:spacing w:line="360" w:lineRule="auto"/>
        <w:ind w:firstLine="480"/>
        <w:rPr>
          <w:color w:val="000000"/>
          <w:lang w:eastAsia="zh-CN"/>
        </w:rPr>
      </w:pPr>
    </w:p>
    <w:p w14:paraId="07883098">
      <w:pPr>
        <w:spacing w:line="360" w:lineRule="auto"/>
        <w:ind w:firstLine="480"/>
        <w:rPr>
          <w:color w:val="000000"/>
          <w:lang w:eastAsia="zh-CN"/>
        </w:rPr>
      </w:pPr>
    </w:p>
    <w:p w14:paraId="3DFED464">
      <w:pPr>
        <w:spacing w:line="360" w:lineRule="auto"/>
        <w:ind w:firstLine="480"/>
        <w:rPr>
          <w:color w:val="000000"/>
          <w:lang w:eastAsia="zh-CN"/>
        </w:rPr>
      </w:pPr>
    </w:p>
    <w:p w14:paraId="35140963">
      <w:pPr>
        <w:spacing w:line="360" w:lineRule="auto"/>
        <w:ind w:firstLine="480"/>
        <w:rPr>
          <w:color w:val="000000"/>
          <w:lang w:eastAsia="zh-CN"/>
        </w:rPr>
      </w:pPr>
    </w:p>
    <w:p w14:paraId="590700CD">
      <w:pPr>
        <w:spacing w:line="360" w:lineRule="auto"/>
        <w:ind w:firstLine="480"/>
        <w:rPr>
          <w:color w:val="000000"/>
          <w:lang w:eastAsia="zh-CN"/>
        </w:rPr>
        <w:sectPr>
          <w:headerReference r:id="rId8" w:type="first"/>
          <w:pgSz w:w="11906" w:h="16838"/>
          <w:pgMar w:top="1440" w:right="1797" w:bottom="1440" w:left="1797" w:header="851" w:footer="992" w:gutter="0"/>
          <w:pgNumType w:start="0"/>
          <w:cols w:space="720" w:num="1"/>
          <w:titlePg/>
          <w:docGrid w:type="linesAndChars" w:linePitch="312" w:charSpace="0"/>
        </w:sectPr>
      </w:pPr>
    </w:p>
    <w:p w14:paraId="3AB8F505">
      <w:pPr>
        <w:pStyle w:val="2"/>
        <w:jc w:val="center"/>
        <w:rPr>
          <w:rFonts w:hint="eastAsia" w:ascii="黑体" w:hAnsi="黑体" w:eastAsia="黑体" w:cs="黑体"/>
          <w:b w:val="0"/>
          <w:bCs w:val="0"/>
          <w:lang w:eastAsia="zh-CN"/>
        </w:rPr>
      </w:pPr>
      <w:r>
        <w:rPr>
          <w:rFonts w:hint="eastAsia" w:ascii="黑体" w:hAnsi="黑体" w:eastAsia="黑体" w:cs="黑体"/>
          <w:b w:val="0"/>
          <w:bCs w:val="0"/>
          <w:lang w:eastAsia="zh-CN"/>
        </w:rPr>
        <w:t>实验动物 肺纤维化</w:t>
      </w:r>
      <w:r>
        <w:rPr>
          <w:rFonts w:hint="eastAsia" w:ascii="黑体" w:hAnsi="黑体" w:eastAsia="黑体" w:cs="黑体"/>
          <w:b w:val="0"/>
          <w:bCs w:val="0"/>
          <w:lang w:val="en-US" w:eastAsia="zh-CN"/>
        </w:rPr>
        <w:t>动物</w:t>
      </w:r>
      <w:bookmarkStart w:id="26" w:name="_GoBack"/>
      <w:bookmarkEnd w:id="26"/>
      <w:r>
        <w:rPr>
          <w:rFonts w:hint="eastAsia" w:ascii="黑体" w:hAnsi="黑体" w:eastAsia="黑体" w:cs="黑体"/>
          <w:b w:val="0"/>
          <w:bCs w:val="0"/>
          <w:lang w:eastAsia="zh-CN"/>
        </w:rPr>
        <w:t>模型制备与评价规范</w:t>
      </w:r>
    </w:p>
    <w:p w14:paraId="7957D584">
      <w:pPr>
        <w:rPr>
          <w:lang w:eastAsia="zh-CN"/>
        </w:rPr>
      </w:pPr>
    </w:p>
    <w:p w14:paraId="43F26898">
      <w:pPr>
        <w:spacing w:line="360" w:lineRule="auto"/>
        <w:jc w:val="both"/>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1 </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范围</w:t>
      </w:r>
    </w:p>
    <w:p w14:paraId="6C6BC604">
      <w:pPr>
        <w:spacing w:line="360" w:lineRule="auto"/>
        <w:ind w:firstLine="420" w:firstLineChars="200"/>
        <w:jc w:val="both"/>
        <w:rPr>
          <w:color w:val="000000"/>
          <w:sz w:val="21"/>
          <w:lang w:eastAsia="zh-CN"/>
        </w:rPr>
      </w:pPr>
      <w:r>
        <w:rPr>
          <w:rFonts w:hint="eastAsia"/>
          <w:color w:val="000000"/>
          <w:sz w:val="21"/>
          <w:lang w:eastAsia="zh-CN"/>
        </w:rPr>
        <w:t>本文件规定了制备与评价由博来霉素诱导的肺纤维化动物模型的基本规范，</w:t>
      </w:r>
      <w:r>
        <w:rPr>
          <w:color w:val="000000"/>
          <w:sz w:val="21"/>
          <w:lang w:eastAsia="zh-CN"/>
        </w:rPr>
        <w:t>规范性引用文件、定义、符号</w:t>
      </w:r>
      <w:r>
        <w:rPr>
          <w:rFonts w:hint="eastAsia"/>
          <w:color w:val="000000"/>
          <w:sz w:val="21"/>
          <w:lang w:eastAsia="zh-CN"/>
        </w:rPr>
        <w:t>、</w:t>
      </w:r>
      <w:r>
        <w:rPr>
          <w:color w:val="000000"/>
          <w:sz w:val="21"/>
          <w:lang w:eastAsia="zh-CN"/>
        </w:rPr>
        <w:t>缩略语、基本原则、</w:t>
      </w:r>
      <w:r>
        <w:rPr>
          <w:rFonts w:hint="eastAsia"/>
          <w:color w:val="000000"/>
          <w:sz w:val="21"/>
          <w:lang w:eastAsia="zh-CN"/>
        </w:rPr>
        <w:t>动物模型选择、模型制备的方法、制备后的表现和评价以及制备后结果判定标准等要求。</w:t>
      </w:r>
    </w:p>
    <w:p w14:paraId="0927F21D">
      <w:pPr>
        <w:spacing w:line="360" w:lineRule="auto"/>
        <w:ind w:firstLine="420" w:firstLineChars="200"/>
        <w:jc w:val="both"/>
        <w:rPr>
          <w:color w:val="000000"/>
          <w:sz w:val="21"/>
          <w:lang w:eastAsia="zh-CN"/>
        </w:rPr>
      </w:pPr>
      <w:r>
        <w:rPr>
          <w:rFonts w:hint="eastAsia"/>
          <w:color w:val="000000"/>
          <w:sz w:val="21"/>
          <w:lang w:eastAsia="zh-CN"/>
        </w:rPr>
        <w:t>本文件适用于制备和评价博来霉素诱导的大鼠/小鼠肺纤维化动物模型，并利用建立的模型进行</w:t>
      </w:r>
      <w:r>
        <w:rPr>
          <w:color w:val="000000"/>
          <w:sz w:val="21"/>
          <w:lang w:eastAsia="zh-CN"/>
        </w:rPr>
        <w:t>中药、天然药物</w:t>
      </w:r>
      <w:r>
        <w:rPr>
          <w:rFonts w:hint="eastAsia"/>
          <w:color w:val="000000"/>
          <w:sz w:val="21"/>
          <w:lang w:eastAsia="zh-CN"/>
        </w:rPr>
        <w:t>和</w:t>
      </w:r>
      <w:r>
        <w:rPr>
          <w:color w:val="000000"/>
          <w:sz w:val="21"/>
          <w:lang w:eastAsia="zh-CN"/>
        </w:rPr>
        <w:t>化药</w:t>
      </w:r>
      <w:r>
        <w:rPr>
          <w:rFonts w:hint="eastAsia"/>
          <w:color w:val="000000"/>
          <w:sz w:val="21"/>
          <w:lang w:eastAsia="zh-CN"/>
        </w:rPr>
        <w:t>的药效评价及药物作用靶点和机制研究</w:t>
      </w:r>
      <w:r>
        <w:rPr>
          <w:color w:val="000000"/>
          <w:sz w:val="21"/>
          <w:lang w:eastAsia="zh-CN"/>
        </w:rPr>
        <w:t>。</w:t>
      </w:r>
    </w:p>
    <w:p w14:paraId="7CD0450F">
      <w:pPr>
        <w:spacing w:line="360" w:lineRule="auto"/>
        <w:jc w:val="both"/>
        <w:rPr>
          <w:rFonts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14:paraId="393FF05D">
      <w:pPr>
        <w:pStyle w:val="12"/>
        <w:spacing w:line="360" w:lineRule="auto"/>
        <w:ind w:firstLine="404" w:firstLineChars="200"/>
        <w:jc w:val="both"/>
        <w:rPr>
          <w:rFonts w:ascii="Times New Roman" w:hAnsi="Times New Roman" w:cs="Times New Roman"/>
          <w:spacing w:val="-4"/>
          <w:lang w:eastAsia="zh-CN"/>
        </w:rPr>
      </w:pPr>
      <w:r>
        <w:rPr>
          <w:rFonts w:hint="eastAsia" w:ascii="Times New Roman" w:hAnsi="Times New Roman" w:cs="Times New Roman"/>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eastAsia="zh-CN"/>
        </w:rPr>
        <w:t>其中，注日期的引用文件，仅该日期对应的版本适用于本文件；不注日期的引用文件，其最新版本（包括所有的修改单）适用于本文件。</w:t>
      </w:r>
    </w:p>
    <w:p w14:paraId="7E114E24">
      <w:pPr>
        <w:spacing w:line="360" w:lineRule="auto"/>
        <w:ind w:firstLine="420" w:firstLineChars="200"/>
        <w:jc w:val="both"/>
        <w:rPr>
          <w:rFonts w:cs="Arial"/>
          <w:color w:val="000000"/>
          <w:sz w:val="21"/>
          <w:lang w:eastAsia="zh-CN" w:bidi="ar-SA"/>
        </w:rPr>
      </w:pPr>
      <w:r>
        <w:rPr>
          <w:rFonts w:hint="eastAsia" w:cs="Arial"/>
          <w:color w:val="000000"/>
          <w:sz w:val="21"/>
          <w:lang w:eastAsia="zh-CN" w:bidi="ar-SA"/>
        </w:rPr>
        <w:t>GB/T 35823</w:t>
      </w:r>
      <w:r>
        <w:rPr>
          <w:rFonts w:cs="Arial"/>
          <w:color w:val="000000"/>
          <w:sz w:val="21"/>
          <w:lang w:eastAsia="zh-CN" w:bidi="ar-SA"/>
        </w:rPr>
        <w:t>-2018</w:t>
      </w:r>
      <w:r>
        <w:rPr>
          <w:rFonts w:hint="eastAsia" w:cs="Arial"/>
          <w:color w:val="000000"/>
          <w:sz w:val="21"/>
          <w:lang w:eastAsia="zh-CN" w:bidi="ar-SA"/>
        </w:rPr>
        <w:t xml:space="preserve"> 《实验动物 动物实验通用要求》</w:t>
      </w:r>
    </w:p>
    <w:p w14:paraId="1F229150">
      <w:pPr>
        <w:spacing w:line="360" w:lineRule="auto"/>
        <w:ind w:firstLine="420" w:firstLineChars="200"/>
        <w:jc w:val="both"/>
        <w:rPr>
          <w:rFonts w:cs="Arial"/>
          <w:color w:val="000000"/>
          <w:sz w:val="21"/>
          <w:lang w:eastAsia="zh-CN" w:bidi="ar-SA"/>
        </w:rPr>
      </w:pPr>
      <w:r>
        <w:rPr>
          <w:rFonts w:hint="eastAsia" w:cs="Arial"/>
          <w:color w:val="000000"/>
          <w:sz w:val="21"/>
          <w:lang w:eastAsia="zh-CN" w:bidi="ar-SA"/>
        </w:rPr>
        <w:t>GB 19489</w:t>
      </w:r>
      <w:r>
        <w:rPr>
          <w:rFonts w:cs="Arial"/>
          <w:color w:val="000000"/>
          <w:sz w:val="21"/>
          <w:lang w:eastAsia="zh-CN" w:bidi="ar-SA"/>
        </w:rPr>
        <w:t>-2008</w:t>
      </w:r>
      <w:r>
        <w:rPr>
          <w:rFonts w:hint="eastAsia" w:cs="Arial"/>
          <w:color w:val="000000"/>
          <w:sz w:val="21"/>
          <w:lang w:eastAsia="zh-CN" w:bidi="ar-SA"/>
        </w:rPr>
        <w:t xml:space="preserve"> 《实验室生物安全通用要求》</w:t>
      </w:r>
    </w:p>
    <w:p w14:paraId="4C175C34">
      <w:pPr>
        <w:spacing w:line="360" w:lineRule="auto"/>
        <w:ind w:firstLine="420" w:firstLineChars="200"/>
        <w:jc w:val="both"/>
        <w:rPr>
          <w:rFonts w:hint="eastAsia" w:cs="Arial"/>
          <w:color w:val="000000"/>
          <w:sz w:val="21"/>
          <w:lang w:eastAsia="zh-CN" w:bidi="ar-SA"/>
        </w:rPr>
      </w:pPr>
      <w:r>
        <w:rPr>
          <w:rFonts w:hint="eastAsia" w:cs="Arial"/>
          <w:color w:val="000000"/>
          <w:sz w:val="21"/>
          <w:lang w:eastAsia="zh-CN" w:bidi="ar-SA"/>
        </w:rPr>
        <w:t>GB/T 34791</w:t>
      </w:r>
      <w:r>
        <w:rPr>
          <w:rFonts w:cs="Arial"/>
          <w:color w:val="000000"/>
          <w:sz w:val="21"/>
          <w:lang w:eastAsia="zh-CN" w:bidi="ar-SA"/>
        </w:rPr>
        <w:t>-2017</w:t>
      </w:r>
      <w:r>
        <w:rPr>
          <w:rFonts w:hint="eastAsia" w:cs="Arial"/>
          <w:color w:val="000000"/>
          <w:sz w:val="21"/>
          <w:lang w:eastAsia="zh-CN" w:bidi="ar-SA"/>
        </w:rPr>
        <w:t xml:space="preserve"> 《实验动物 质量控制要求》</w:t>
      </w:r>
    </w:p>
    <w:p w14:paraId="3B38BD71">
      <w:pPr>
        <w:spacing w:line="360" w:lineRule="auto"/>
        <w:ind w:firstLine="420" w:firstLineChars="200"/>
        <w:jc w:val="both"/>
        <w:rPr>
          <w:rFonts w:hint="eastAsia" w:cs="Arial"/>
          <w:color w:val="000000"/>
          <w:sz w:val="21"/>
          <w:lang w:eastAsia="zh-CN" w:bidi="ar-SA"/>
        </w:rPr>
      </w:pPr>
      <w:r>
        <w:rPr>
          <w:rFonts w:cs="Arial"/>
          <w:color w:val="000000"/>
          <w:sz w:val="21"/>
          <w:lang w:eastAsia="zh-CN" w:bidi="ar-SA"/>
        </w:rPr>
        <w:t>国家药品监督管理局（NMPA）2017年颁布的</w:t>
      </w:r>
      <w:r>
        <w:rPr>
          <w:rFonts w:hint="eastAsia" w:cs="Arial"/>
          <w:color w:val="000000"/>
          <w:sz w:val="21"/>
          <w:lang w:eastAsia="zh-CN" w:bidi="ar-SA"/>
        </w:rPr>
        <w:t xml:space="preserve"> </w:t>
      </w:r>
      <w:r>
        <w:rPr>
          <w:rFonts w:cs="Arial"/>
          <w:color w:val="000000"/>
          <w:sz w:val="21"/>
          <w:lang w:eastAsia="zh-CN" w:bidi="ar-SA"/>
        </w:rPr>
        <w:t>《药物非临床研究质量管理规范》</w:t>
      </w:r>
    </w:p>
    <w:p w14:paraId="20243677">
      <w:pPr>
        <w:spacing w:line="360" w:lineRule="auto"/>
        <w:jc w:val="both"/>
        <w:rPr>
          <w:rFonts w:ascii="黑体" w:hAnsi="黑体" w:eastAsia="黑体" w:cs="黑体"/>
          <w:color w:val="000000"/>
          <w:sz w:val="21"/>
          <w:lang w:eastAsia="zh-CN"/>
        </w:rPr>
      </w:pPr>
      <w:r>
        <w:rPr>
          <w:rFonts w:hint="eastAsia" w:ascii="黑体" w:hAnsi="黑体" w:eastAsia="黑体" w:cs="黑体"/>
          <w:color w:val="000000"/>
          <w:sz w:val="21"/>
          <w:lang w:eastAsia="zh-CN"/>
        </w:rPr>
        <w:t>3  术语和定义</w:t>
      </w:r>
    </w:p>
    <w:p w14:paraId="1B041B7D">
      <w:pPr>
        <w:pStyle w:val="57"/>
        <w:spacing w:line="360" w:lineRule="auto"/>
        <w:ind w:firstLine="420" w:firstLineChars="200"/>
        <w:jc w:val="both"/>
        <w:rPr>
          <w:rFonts w:ascii="宋体" w:hAnsi="宋体"/>
          <w:sz w:val="21"/>
        </w:rPr>
      </w:pPr>
      <w:r>
        <w:rPr>
          <w:rFonts w:hint="eastAsia" w:ascii="宋体" w:hAnsi="宋体"/>
          <w:sz w:val="21"/>
        </w:rPr>
        <w:t>以下术语和定义适用于本文件。</w:t>
      </w:r>
    </w:p>
    <w:p w14:paraId="2713E94A">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lang w:eastAsia="zh-CN"/>
        </w:rPr>
        <w:t xml:space="preserve">3.1 </w:t>
      </w:r>
      <w:r>
        <w:rPr>
          <w:rFonts w:hint="eastAsia" w:ascii="黑体" w:hAnsi="黑体" w:eastAsia="黑体" w:cs="黑体"/>
          <w:color w:val="000000"/>
          <w:sz w:val="21"/>
          <w:szCs w:val="21"/>
          <w:lang w:eastAsia="zh-CN"/>
        </w:rPr>
        <w:t xml:space="preserve">肺纤维化 </w:t>
      </w:r>
      <w:r>
        <w:rPr>
          <w:rFonts w:hint="eastAsia" w:ascii="黑体" w:hAnsi="黑体" w:eastAsia="黑体" w:cs="黑体"/>
          <w:b w:val="0"/>
          <w:bCs w:val="0"/>
          <w:sz w:val="21"/>
          <w:szCs w:val="21"/>
        </w:rPr>
        <w:t>pulmonary fibrosis</w:t>
      </w:r>
      <w:r>
        <w:rPr>
          <w:rFonts w:hint="eastAsia" w:ascii="黑体" w:hAnsi="黑体" w:eastAsia="黑体" w:cs="黑体"/>
          <w:b w:val="0"/>
          <w:bCs w:val="0"/>
          <w:sz w:val="21"/>
          <w:szCs w:val="21"/>
          <w:lang w:eastAsia="zh-CN"/>
        </w:rPr>
        <w:t>（PF）</w:t>
      </w:r>
    </w:p>
    <w:p w14:paraId="6FE72E60">
      <w:pPr>
        <w:spacing w:line="360" w:lineRule="auto"/>
        <w:ind w:firstLine="420" w:firstLineChars="200"/>
        <w:jc w:val="both"/>
        <w:rPr>
          <w:color w:val="000000"/>
          <w:sz w:val="21"/>
          <w:lang w:eastAsia="zh-CN"/>
        </w:rPr>
      </w:pPr>
      <w:r>
        <w:rPr>
          <w:rFonts w:hint="eastAsia"/>
          <w:color w:val="000000"/>
          <w:sz w:val="21"/>
          <w:lang w:eastAsia="zh-CN"/>
        </w:rPr>
        <w:t>以炎症和细胞外基质沉积为特征，呈进展性和致死性的弥漫性肺间质疾病。</w:t>
      </w:r>
    </w:p>
    <w:p w14:paraId="24002933">
      <w:pPr>
        <w:spacing w:line="360" w:lineRule="auto"/>
        <w:jc w:val="both"/>
        <w:rPr>
          <w:rFonts w:hint="eastAsia" w:ascii="黑体" w:hAnsi="黑体" w:eastAsia="黑体" w:cs="黑体"/>
          <w:b/>
          <w:bCs/>
          <w:sz w:val="21"/>
          <w:szCs w:val="21"/>
        </w:rPr>
      </w:pPr>
      <w:r>
        <w:rPr>
          <w:rFonts w:hint="eastAsia" w:ascii="黑体" w:hAnsi="黑体" w:eastAsia="黑体" w:cs="黑体"/>
          <w:color w:val="000000"/>
          <w:sz w:val="21"/>
          <w:lang w:eastAsia="zh-CN"/>
        </w:rPr>
        <w:t>3.2 人类疾病动物模型</w:t>
      </w:r>
      <w:r>
        <w:rPr>
          <w:rFonts w:hint="eastAsia" w:ascii="黑体" w:hAnsi="黑体" w:eastAsia="黑体" w:cs="黑体"/>
          <w:b w:val="0"/>
          <w:bCs w:val="0"/>
          <w:color w:val="000000"/>
          <w:sz w:val="21"/>
          <w:lang w:eastAsia="zh-CN"/>
        </w:rPr>
        <w:t xml:space="preserve"> </w:t>
      </w:r>
      <w:r>
        <w:rPr>
          <w:rFonts w:hint="eastAsia" w:ascii="黑体" w:hAnsi="黑体" w:eastAsia="黑体" w:cs="黑体"/>
          <w:b w:val="0"/>
          <w:bCs w:val="0"/>
          <w:sz w:val="21"/>
          <w:szCs w:val="21"/>
        </w:rPr>
        <w:t>animal model of human disease</w:t>
      </w:r>
    </w:p>
    <w:p w14:paraId="5FD0477C">
      <w:pPr>
        <w:spacing w:line="360" w:lineRule="auto"/>
        <w:ind w:firstLine="420" w:firstLineChars="200"/>
        <w:jc w:val="both"/>
        <w:rPr>
          <w:color w:val="000000"/>
          <w:sz w:val="21"/>
          <w:lang w:eastAsia="zh-CN"/>
        </w:rPr>
      </w:pPr>
      <w:r>
        <w:rPr>
          <w:rFonts w:hint="eastAsia"/>
          <w:color w:val="000000"/>
          <w:sz w:val="21"/>
          <w:lang w:eastAsia="zh-CN"/>
        </w:rPr>
        <w:t>在各种医学科学研究中为阐明人类疾病的发生机制，以及建立预防、诊断和治疗方法而制作的具有人类疾病模拟表现的实验动物。</w:t>
      </w:r>
    </w:p>
    <w:p w14:paraId="2FE0A792">
      <w:pPr>
        <w:spacing w:line="360" w:lineRule="auto"/>
        <w:jc w:val="both"/>
        <w:rPr>
          <w:rFonts w:hint="eastAsia" w:ascii="黑体" w:hAnsi="黑体" w:eastAsia="黑体" w:cs="黑体"/>
          <w:color w:val="000000"/>
          <w:sz w:val="21"/>
          <w:lang w:eastAsia="zh-CN"/>
        </w:rPr>
      </w:pPr>
      <w:bookmarkStart w:id="0" w:name="_Toc120799917"/>
      <w:r>
        <w:rPr>
          <w:rFonts w:hint="eastAsia" w:ascii="黑体" w:hAnsi="黑体" w:eastAsia="黑体" w:cs="黑体"/>
          <w:color w:val="000000"/>
          <w:sz w:val="21"/>
          <w:lang w:eastAsia="zh-CN"/>
        </w:rPr>
        <w:t>3.3 符号和缩略语</w:t>
      </w:r>
      <w:bookmarkEnd w:id="0"/>
    </w:p>
    <w:tbl>
      <w:tblPr>
        <w:tblStyle w:val="23"/>
        <w:tblW w:w="5000" w:type="pct"/>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18"/>
        <w:gridCol w:w="4073"/>
        <w:gridCol w:w="1837"/>
      </w:tblGrid>
      <w:tr w14:paraId="6F8330A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Borders>
              <w:top w:val="single" w:color="auto" w:sz="8" w:space="0"/>
              <w:bottom w:val="single" w:color="auto" w:sz="8" w:space="0"/>
            </w:tcBorders>
          </w:tcPr>
          <w:p w14:paraId="1C9EF13C">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中文全称</w:t>
            </w:r>
          </w:p>
        </w:tc>
        <w:tc>
          <w:tcPr>
            <w:tcW w:w="2388" w:type="pct"/>
            <w:tcBorders>
              <w:top w:val="single" w:color="auto" w:sz="8" w:space="0"/>
              <w:bottom w:val="single" w:color="auto" w:sz="8" w:space="0"/>
            </w:tcBorders>
          </w:tcPr>
          <w:p w14:paraId="3CF48F1B">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英文全称</w:t>
            </w:r>
          </w:p>
        </w:tc>
        <w:tc>
          <w:tcPr>
            <w:tcW w:w="1077" w:type="pct"/>
            <w:tcBorders>
              <w:top w:val="single" w:color="auto" w:sz="8" w:space="0"/>
              <w:bottom w:val="single" w:color="auto" w:sz="8" w:space="0"/>
            </w:tcBorders>
          </w:tcPr>
          <w:p w14:paraId="0E020665">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英文缩略语</w:t>
            </w:r>
          </w:p>
        </w:tc>
      </w:tr>
      <w:tr w14:paraId="536817E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605D8BA1">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肺纤维化</w:t>
            </w:r>
          </w:p>
        </w:tc>
        <w:tc>
          <w:tcPr>
            <w:tcW w:w="2388" w:type="pct"/>
          </w:tcPr>
          <w:p w14:paraId="05F648A8">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pulmonary fibrosis</w:t>
            </w:r>
          </w:p>
        </w:tc>
        <w:tc>
          <w:tcPr>
            <w:tcW w:w="1077" w:type="pct"/>
          </w:tcPr>
          <w:p w14:paraId="266E52A7">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PF</w:t>
            </w:r>
          </w:p>
        </w:tc>
      </w:tr>
      <w:tr w14:paraId="0CEA8474">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4206C08B">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苏木精-伊红染色法</w:t>
            </w:r>
          </w:p>
        </w:tc>
        <w:tc>
          <w:tcPr>
            <w:tcW w:w="2388" w:type="pct"/>
          </w:tcPr>
          <w:p w14:paraId="48169600">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hematoxylin-eosin staining</w:t>
            </w:r>
          </w:p>
        </w:tc>
        <w:tc>
          <w:tcPr>
            <w:tcW w:w="1077" w:type="pct"/>
          </w:tcPr>
          <w:p w14:paraId="38817956">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HE</w:t>
            </w:r>
          </w:p>
        </w:tc>
      </w:tr>
      <w:tr w14:paraId="1A2AE29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308AC645">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I型胶原</w:t>
            </w:r>
          </w:p>
        </w:tc>
        <w:tc>
          <w:tcPr>
            <w:tcW w:w="2388" w:type="pct"/>
          </w:tcPr>
          <w:p w14:paraId="68839AB1">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c</w:t>
            </w:r>
            <w:r>
              <w:rPr>
                <w:rFonts w:ascii="Times New Roman" w:hAnsi="Times New Roman" w:eastAsia="宋体"/>
                <w:sz w:val="21"/>
              </w:rPr>
              <w:t>ollagen I</w:t>
            </w:r>
          </w:p>
        </w:tc>
        <w:tc>
          <w:tcPr>
            <w:tcW w:w="1077" w:type="pct"/>
          </w:tcPr>
          <w:p w14:paraId="3987B3D2">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COL-I</w:t>
            </w:r>
          </w:p>
        </w:tc>
      </w:tr>
      <w:tr w14:paraId="4E478B87">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5C9694F0">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纤维粘连蛋白</w:t>
            </w:r>
          </w:p>
        </w:tc>
        <w:tc>
          <w:tcPr>
            <w:tcW w:w="2388" w:type="pct"/>
          </w:tcPr>
          <w:p w14:paraId="0A59B278">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f</w:t>
            </w:r>
            <w:r>
              <w:rPr>
                <w:rFonts w:ascii="Times New Roman" w:hAnsi="Times New Roman" w:eastAsia="宋体"/>
                <w:sz w:val="21"/>
              </w:rPr>
              <w:t>ibronectin</w:t>
            </w:r>
          </w:p>
        </w:tc>
        <w:tc>
          <w:tcPr>
            <w:tcW w:w="1077" w:type="pct"/>
          </w:tcPr>
          <w:p w14:paraId="7EF167CD">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FN</w:t>
            </w:r>
          </w:p>
        </w:tc>
      </w:tr>
      <w:tr w14:paraId="2EFFCA4A">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57410702">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α-平滑肌肌动蛋白</w:t>
            </w:r>
          </w:p>
        </w:tc>
        <w:tc>
          <w:tcPr>
            <w:tcW w:w="2388" w:type="pct"/>
          </w:tcPr>
          <w:p w14:paraId="507855EB">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alpha-smooth muscle actin</w:t>
            </w:r>
          </w:p>
        </w:tc>
        <w:tc>
          <w:tcPr>
            <w:tcW w:w="1077" w:type="pct"/>
          </w:tcPr>
          <w:p w14:paraId="6EFDD37A">
            <w:pPr>
              <w:adjustRightInd w:val="0"/>
              <w:snapToGrid w:val="0"/>
              <w:spacing w:line="360" w:lineRule="auto"/>
              <w:jc w:val="center"/>
              <w:rPr>
                <w:rFonts w:ascii="Times New Roman" w:hAnsi="Times New Roman" w:eastAsia="宋体"/>
                <w:sz w:val="21"/>
                <w:lang w:eastAsia="zh-CN"/>
              </w:rPr>
            </w:pPr>
            <w:r>
              <w:rPr>
                <w:rFonts w:ascii="Times New Roman" w:hAnsi="Times New Roman" w:eastAsia="宋体"/>
                <w:sz w:val="21"/>
              </w:rPr>
              <w:t>α-SMA</w:t>
            </w:r>
          </w:p>
        </w:tc>
      </w:tr>
      <w:tr w14:paraId="592FAD2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01C0DA2B">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波形蛋白</w:t>
            </w:r>
          </w:p>
        </w:tc>
        <w:tc>
          <w:tcPr>
            <w:tcW w:w="2388" w:type="pct"/>
          </w:tcPr>
          <w:p w14:paraId="31C1CE91">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v</w:t>
            </w:r>
            <w:r>
              <w:rPr>
                <w:rFonts w:ascii="Times New Roman" w:hAnsi="Times New Roman" w:eastAsia="宋体"/>
                <w:sz w:val="21"/>
              </w:rPr>
              <w:t>imentin</w:t>
            </w:r>
          </w:p>
        </w:tc>
        <w:tc>
          <w:tcPr>
            <w:tcW w:w="1077" w:type="pct"/>
          </w:tcPr>
          <w:p w14:paraId="3A6E9082">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Vim</w:t>
            </w:r>
          </w:p>
        </w:tc>
      </w:tr>
      <w:tr w14:paraId="5AA9A268">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5BF6CED5">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E-钙黏蛋白</w:t>
            </w:r>
          </w:p>
        </w:tc>
        <w:tc>
          <w:tcPr>
            <w:tcW w:w="2388" w:type="pct"/>
          </w:tcPr>
          <w:p w14:paraId="5B8C1603">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E-cadherin</w:t>
            </w:r>
          </w:p>
        </w:tc>
        <w:tc>
          <w:tcPr>
            <w:tcW w:w="1077" w:type="pct"/>
          </w:tcPr>
          <w:p w14:paraId="2D541201">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E-cad</w:t>
            </w:r>
          </w:p>
        </w:tc>
      </w:tr>
      <w:tr w14:paraId="2BB8A82B">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01512E50">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支气管肺泡灌洗液</w:t>
            </w:r>
          </w:p>
        </w:tc>
        <w:tc>
          <w:tcPr>
            <w:tcW w:w="2388" w:type="pct"/>
          </w:tcPr>
          <w:p w14:paraId="7CDDCC6E">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broncho-alveolar lavage fluid</w:t>
            </w:r>
          </w:p>
        </w:tc>
        <w:tc>
          <w:tcPr>
            <w:tcW w:w="1077" w:type="pct"/>
          </w:tcPr>
          <w:p w14:paraId="09E40C10">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BALF</w:t>
            </w:r>
          </w:p>
        </w:tc>
      </w:tr>
      <w:tr w14:paraId="129955C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5BCCB20F">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羟脯氨酸</w:t>
            </w:r>
          </w:p>
        </w:tc>
        <w:tc>
          <w:tcPr>
            <w:tcW w:w="2388" w:type="pct"/>
          </w:tcPr>
          <w:p w14:paraId="7A457C87">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hydroxyproline</w:t>
            </w:r>
          </w:p>
        </w:tc>
        <w:tc>
          <w:tcPr>
            <w:tcW w:w="1077" w:type="pct"/>
          </w:tcPr>
          <w:p w14:paraId="4AF02833">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Hyp</w:t>
            </w:r>
          </w:p>
        </w:tc>
      </w:tr>
      <w:tr w14:paraId="7E29F7D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7867FF6A">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结缔组织生长因子</w:t>
            </w:r>
          </w:p>
        </w:tc>
        <w:tc>
          <w:tcPr>
            <w:tcW w:w="2388" w:type="pct"/>
          </w:tcPr>
          <w:p w14:paraId="2380010A">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connective tissue growth factor</w:t>
            </w:r>
          </w:p>
        </w:tc>
        <w:tc>
          <w:tcPr>
            <w:tcW w:w="1077" w:type="pct"/>
          </w:tcPr>
          <w:p w14:paraId="0B432572">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CTGF</w:t>
            </w:r>
          </w:p>
        </w:tc>
      </w:tr>
      <w:tr w14:paraId="4AD79F92">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6CCDAA6A">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肿瘤坏死因子-α</w:t>
            </w:r>
          </w:p>
        </w:tc>
        <w:tc>
          <w:tcPr>
            <w:tcW w:w="2388" w:type="pct"/>
          </w:tcPr>
          <w:p w14:paraId="6A69E9FC">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tumor necrosis factor-α</w:t>
            </w:r>
          </w:p>
        </w:tc>
        <w:tc>
          <w:tcPr>
            <w:tcW w:w="1077" w:type="pct"/>
          </w:tcPr>
          <w:p w14:paraId="0FC8F69A">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TNF-α</w:t>
            </w:r>
          </w:p>
        </w:tc>
      </w:tr>
      <w:tr w14:paraId="37EBBF4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4B32F232">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转化生长因子β</w:t>
            </w:r>
          </w:p>
        </w:tc>
        <w:tc>
          <w:tcPr>
            <w:tcW w:w="2388" w:type="pct"/>
          </w:tcPr>
          <w:p w14:paraId="5D2784BC">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transforming growth factor-β</w:t>
            </w:r>
          </w:p>
        </w:tc>
        <w:tc>
          <w:tcPr>
            <w:tcW w:w="1077" w:type="pct"/>
          </w:tcPr>
          <w:p w14:paraId="34D20002">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TGF-β</w:t>
            </w:r>
          </w:p>
        </w:tc>
      </w:tr>
      <w:tr w14:paraId="286D2B6F">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385AEC4C">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血小板衍生生长因子</w:t>
            </w:r>
          </w:p>
        </w:tc>
        <w:tc>
          <w:tcPr>
            <w:tcW w:w="2388" w:type="pct"/>
          </w:tcPr>
          <w:p w14:paraId="042B7F63">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platelet-derived growth factor</w:t>
            </w:r>
          </w:p>
        </w:tc>
        <w:tc>
          <w:tcPr>
            <w:tcW w:w="1077" w:type="pct"/>
          </w:tcPr>
          <w:p w14:paraId="7A0DE2BD">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PDGF</w:t>
            </w:r>
          </w:p>
        </w:tc>
      </w:tr>
      <w:tr w14:paraId="39DDCE6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5F4FC4C7">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基质</w:t>
            </w:r>
            <w:r>
              <w:rPr>
                <w:rFonts w:ascii="Times New Roman" w:hAnsi="Times New Roman" w:eastAsia="宋体"/>
                <w:sz w:val="21"/>
              </w:rPr>
              <w:t>金属蛋白酶</w:t>
            </w:r>
          </w:p>
        </w:tc>
        <w:tc>
          <w:tcPr>
            <w:tcW w:w="2388" w:type="pct"/>
          </w:tcPr>
          <w:p w14:paraId="541BAF76">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matrix metalloproteinase</w:t>
            </w:r>
          </w:p>
        </w:tc>
        <w:tc>
          <w:tcPr>
            <w:tcW w:w="1077" w:type="pct"/>
          </w:tcPr>
          <w:p w14:paraId="5A8A7500">
            <w:pPr>
              <w:adjustRightInd w:val="0"/>
              <w:snapToGrid w:val="0"/>
              <w:spacing w:line="360" w:lineRule="auto"/>
              <w:jc w:val="center"/>
              <w:rPr>
                <w:rFonts w:ascii="Times New Roman" w:hAnsi="Times New Roman" w:eastAsia="宋体"/>
                <w:sz w:val="21"/>
                <w:lang w:eastAsia="zh-CN"/>
              </w:rPr>
            </w:pPr>
            <w:r>
              <w:rPr>
                <w:rFonts w:ascii="Times New Roman" w:hAnsi="Times New Roman" w:eastAsia="宋体"/>
                <w:sz w:val="21"/>
                <w:lang w:eastAsia="zh-CN"/>
              </w:rPr>
              <w:t>MMP</w:t>
            </w:r>
          </w:p>
        </w:tc>
      </w:tr>
      <w:tr w14:paraId="3F066B3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7D702E17">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白介素-1β</w:t>
            </w:r>
          </w:p>
        </w:tc>
        <w:tc>
          <w:tcPr>
            <w:tcW w:w="2388" w:type="pct"/>
          </w:tcPr>
          <w:p w14:paraId="464CDA22">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i</w:t>
            </w:r>
            <w:r>
              <w:rPr>
                <w:rFonts w:ascii="Times New Roman" w:hAnsi="Times New Roman" w:eastAsia="宋体"/>
                <w:sz w:val="21"/>
              </w:rPr>
              <w:t>nterleukin-1β</w:t>
            </w:r>
          </w:p>
        </w:tc>
        <w:tc>
          <w:tcPr>
            <w:tcW w:w="1077" w:type="pct"/>
          </w:tcPr>
          <w:p w14:paraId="4AC9B336">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IL-1β</w:t>
            </w:r>
          </w:p>
        </w:tc>
      </w:tr>
      <w:tr w14:paraId="25EB4885">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2750ABFA">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气道阻力</w:t>
            </w:r>
          </w:p>
        </w:tc>
        <w:tc>
          <w:tcPr>
            <w:tcW w:w="2388" w:type="pct"/>
          </w:tcPr>
          <w:p w14:paraId="0C5263D2">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airway Resistance</w:t>
            </w:r>
          </w:p>
        </w:tc>
        <w:tc>
          <w:tcPr>
            <w:tcW w:w="1077" w:type="pct"/>
          </w:tcPr>
          <w:p w14:paraId="2E1952B9">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RI</w:t>
            </w:r>
          </w:p>
        </w:tc>
      </w:tr>
      <w:tr w14:paraId="16E1B96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143B983B">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氧分压</w:t>
            </w:r>
          </w:p>
        </w:tc>
        <w:tc>
          <w:tcPr>
            <w:tcW w:w="2388" w:type="pct"/>
          </w:tcPr>
          <w:p w14:paraId="1895E626">
            <w:pPr>
              <w:spacing w:line="360" w:lineRule="auto"/>
              <w:jc w:val="center"/>
              <w:rPr>
                <w:rFonts w:ascii="Times New Roman" w:hAnsi="Times New Roman" w:eastAsia="宋体"/>
                <w:sz w:val="21"/>
                <w:lang w:eastAsia="zh-CN"/>
              </w:rPr>
            </w:pPr>
            <w:r>
              <w:rPr>
                <w:rFonts w:ascii="Times New Roman" w:hAnsi="Times New Roman" w:eastAsia="宋体"/>
                <w:sz w:val="21"/>
                <w:lang w:eastAsia="zh-CN"/>
              </w:rPr>
              <w:t>partial pressure of oxygen</w:t>
            </w:r>
          </w:p>
        </w:tc>
        <w:tc>
          <w:tcPr>
            <w:tcW w:w="1077" w:type="pct"/>
          </w:tcPr>
          <w:p w14:paraId="407DB929">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PO</w:t>
            </w:r>
            <w:r>
              <w:rPr>
                <w:rFonts w:ascii="Times New Roman" w:hAnsi="Times New Roman" w:eastAsia="宋体"/>
                <w:sz w:val="21"/>
                <w:vertAlign w:val="subscript"/>
              </w:rPr>
              <w:t>2</w:t>
            </w:r>
          </w:p>
        </w:tc>
      </w:tr>
      <w:tr w14:paraId="0F2A7A58">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5E4A4F69">
            <w:pPr>
              <w:adjustRightInd w:val="0"/>
              <w:snapToGrid w:val="0"/>
              <w:spacing w:line="360" w:lineRule="auto"/>
              <w:jc w:val="center"/>
              <w:rPr>
                <w:rFonts w:ascii="Times New Roman" w:hAnsi="Times New Roman" w:eastAsia="宋体"/>
                <w:color w:val="212121"/>
                <w:sz w:val="21"/>
                <w:shd w:val="clear" w:color="auto" w:fill="FFFFFF"/>
              </w:rPr>
            </w:pPr>
            <w:r>
              <w:rPr>
                <w:rFonts w:ascii="Times New Roman" w:hAnsi="Times New Roman" w:eastAsia="宋体"/>
                <w:sz w:val="21"/>
                <w:lang w:eastAsia="zh-CN"/>
              </w:rPr>
              <w:t>动态肺顺应性</w:t>
            </w:r>
          </w:p>
        </w:tc>
        <w:tc>
          <w:tcPr>
            <w:tcW w:w="2388" w:type="pct"/>
          </w:tcPr>
          <w:p w14:paraId="1FDDF82B">
            <w:pPr>
              <w:spacing w:line="360" w:lineRule="auto"/>
              <w:jc w:val="center"/>
              <w:rPr>
                <w:rFonts w:ascii="Times New Roman" w:hAnsi="Times New Roman" w:eastAsia="宋体"/>
                <w:sz w:val="21"/>
                <w:lang w:eastAsia="zh-CN"/>
              </w:rPr>
            </w:pPr>
            <w:r>
              <w:rPr>
                <w:rFonts w:ascii="Times New Roman" w:hAnsi="Times New Roman" w:eastAsia="宋体"/>
                <w:sz w:val="21"/>
                <w:lang w:eastAsia="zh-CN"/>
              </w:rPr>
              <w:t>dynamic compliance</w:t>
            </w:r>
          </w:p>
        </w:tc>
        <w:tc>
          <w:tcPr>
            <w:tcW w:w="1077" w:type="pct"/>
          </w:tcPr>
          <w:p w14:paraId="3FFD87A7">
            <w:pPr>
              <w:adjustRightInd w:val="0"/>
              <w:snapToGrid w:val="0"/>
              <w:spacing w:line="360" w:lineRule="auto"/>
              <w:jc w:val="center"/>
              <w:rPr>
                <w:rFonts w:ascii="Times New Roman" w:hAnsi="Times New Roman" w:eastAsia="宋体"/>
                <w:color w:val="212121"/>
                <w:sz w:val="21"/>
                <w:shd w:val="clear" w:color="auto" w:fill="FFFFFF"/>
              </w:rPr>
            </w:pPr>
            <w:r>
              <w:rPr>
                <w:rFonts w:ascii="Times New Roman" w:hAnsi="Times New Roman" w:eastAsia="宋体"/>
                <w:sz w:val="21"/>
                <w:lang w:eastAsia="zh-CN"/>
              </w:rPr>
              <w:t>Cdyn</w:t>
            </w:r>
          </w:p>
        </w:tc>
      </w:tr>
      <w:tr w14:paraId="6752DDFB">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790284F5">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二氧化碳分压</w:t>
            </w:r>
          </w:p>
        </w:tc>
        <w:tc>
          <w:tcPr>
            <w:tcW w:w="2388" w:type="pct"/>
          </w:tcPr>
          <w:p w14:paraId="56E9B68E">
            <w:pPr>
              <w:spacing w:line="360" w:lineRule="auto"/>
              <w:jc w:val="center"/>
              <w:rPr>
                <w:rFonts w:ascii="Times New Roman" w:hAnsi="Times New Roman" w:eastAsia="宋体"/>
                <w:sz w:val="21"/>
                <w:lang w:eastAsia="zh-CN"/>
              </w:rPr>
            </w:pPr>
            <w:r>
              <w:rPr>
                <w:rFonts w:ascii="Times New Roman" w:hAnsi="Times New Roman" w:eastAsia="宋体"/>
                <w:color w:val="333333"/>
                <w:sz w:val="21"/>
                <w:szCs w:val="21"/>
                <w:shd w:val="clear" w:color="auto" w:fill="FFFFFF"/>
                <w:lang w:eastAsia="zh-CN"/>
              </w:rPr>
              <w:t>p</w:t>
            </w:r>
            <w:r>
              <w:rPr>
                <w:rFonts w:ascii="Times New Roman" w:hAnsi="Times New Roman" w:eastAsia="宋体"/>
                <w:color w:val="333333"/>
                <w:sz w:val="21"/>
                <w:szCs w:val="21"/>
                <w:shd w:val="clear" w:color="auto" w:fill="FFFFFF"/>
              </w:rPr>
              <w:t xml:space="preserve">artial </w:t>
            </w:r>
            <w:r>
              <w:rPr>
                <w:rFonts w:ascii="Times New Roman" w:hAnsi="Times New Roman" w:eastAsia="宋体"/>
                <w:color w:val="333333"/>
                <w:sz w:val="21"/>
                <w:szCs w:val="21"/>
                <w:shd w:val="clear" w:color="auto" w:fill="FFFFFF"/>
                <w:lang w:eastAsia="zh-CN"/>
              </w:rPr>
              <w:t>p</w:t>
            </w:r>
            <w:r>
              <w:rPr>
                <w:rFonts w:ascii="Times New Roman" w:hAnsi="Times New Roman" w:eastAsia="宋体"/>
                <w:color w:val="333333"/>
                <w:sz w:val="21"/>
                <w:szCs w:val="21"/>
                <w:shd w:val="clear" w:color="auto" w:fill="FFFFFF"/>
              </w:rPr>
              <w:t xml:space="preserve">ressure of </w:t>
            </w:r>
            <w:r>
              <w:rPr>
                <w:rFonts w:ascii="Times New Roman" w:hAnsi="Times New Roman" w:eastAsia="宋体"/>
                <w:color w:val="333333"/>
                <w:sz w:val="21"/>
                <w:szCs w:val="21"/>
                <w:shd w:val="clear" w:color="auto" w:fill="FFFFFF"/>
                <w:lang w:eastAsia="zh-CN"/>
              </w:rPr>
              <w:t>c</w:t>
            </w:r>
            <w:r>
              <w:rPr>
                <w:rFonts w:ascii="Times New Roman" w:hAnsi="Times New Roman" w:eastAsia="宋体"/>
                <w:color w:val="333333"/>
                <w:sz w:val="21"/>
                <w:szCs w:val="21"/>
                <w:shd w:val="clear" w:color="auto" w:fill="FFFFFF"/>
              </w:rPr>
              <w:t xml:space="preserve">arbon </w:t>
            </w:r>
            <w:r>
              <w:rPr>
                <w:rFonts w:ascii="Times New Roman" w:hAnsi="Times New Roman" w:eastAsia="宋体"/>
                <w:color w:val="333333"/>
                <w:sz w:val="21"/>
                <w:szCs w:val="21"/>
                <w:shd w:val="clear" w:color="auto" w:fill="FFFFFF"/>
                <w:lang w:eastAsia="zh-CN"/>
              </w:rPr>
              <w:t>d</w:t>
            </w:r>
            <w:r>
              <w:rPr>
                <w:rFonts w:ascii="Times New Roman" w:hAnsi="Times New Roman" w:eastAsia="宋体"/>
                <w:color w:val="333333"/>
                <w:sz w:val="21"/>
                <w:szCs w:val="21"/>
                <w:shd w:val="clear" w:color="auto" w:fill="FFFFFF"/>
              </w:rPr>
              <w:t>ioxide</w:t>
            </w:r>
          </w:p>
        </w:tc>
        <w:tc>
          <w:tcPr>
            <w:tcW w:w="1077" w:type="pct"/>
          </w:tcPr>
          <w:p w14:paraId="106B9783">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PCO</w:t>
            </w:r>
            <w:r>
              <w:rPr>
                <w:rFonts w:ascii="Times New Roman" w:hAnsi="Times New Roman" w:eastAsia="宋体"/>
                <w:sz w:val="21"/>
                <w:vertAlign w:val="subscript"/>
              </w:rPr>
              <w:t>2</w:t>
            </w:r>
          </w:p>
        </w:tc>
      </w:tr>
      <w:tr w14:paraId="78BFDA3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499F0146">
            <w:pPr>
              <w:adjustRightInd w:val="0"/>
              <w:snapToGrid w:val="0"/>
              <w:spacing w:line="360" w:lineRule="auto"/>
              <w:jc w:val="center"/>
              <w:rPr>
                <w:rFonts w:ascii="Times New Roman" w:hAnsi="Times New Roman" w:eastAsia="宋体"/>
                <w:sz w:val="21"/>
                <w:lang w:eastAsia="zh-CN"/>
              </w:rPr>
            </w:pPr>
            <w:r>
              <w:rPr>
                <w:rFonts w:ascii="Times New Roman" w:hAnsi="Times New Roman" w:eastAsia="宋体"/>
                <w:sz w:val="21"/>
                <w:lang w:eastAsia="zh-CN"/>
              </w:rPr>
              <w:t>血氧饱和度</w:t>
            </w:r>
          </w:p>
        </w:tc>
        <w:tc>
          <w:tcPr>
            <w:tcW w:w="2388" w:type="pct"/>
          </w:tcPr>
          <w:p w14:paraId="3D3FC910">
            <w:pPr>
              <w:spacing w:line="360" w:lineRule="auto"/>
              <w:jc w:val="center"/>
              <w:rPr>
                <w:rFonts w:ascii="Times New Roman" w:hAnsi="Times New Roman" w:eastAsia="宋体"/>
                <w:color w:val="333333"/>
                <w:sz w:val="21"/>
                <w:szCs w:val="21"/>
                <w:shd w:val="clear" w:color="auto" w:fill="FFFFFF"/>
              </w:rPr>
            </w:pPr>
            <w:r>
              <w:rPr>
                <w:rFonts w:ascii="Times New Roman" w:hAnsi="Times New Roman" w:eastAsia="宋体"/>
                <w:color w:val="333333"/>
                <w:sz w:val="21"/>
                <w:szCs w:val="21"/>
                <w:shd w:val="clear" w:color="auto" w:fill="FFFFFF"/>
              </w:rPr>
              <w:t>arterial oxygen saturation</w:t>
            </w:r>
          </w:p>
        </w:tc>
        <w:tc>
          <w:tcPr>
            <w:tcW w:w="1077" w:type="pct"/>
          </w:tcPr>
          <w:p w14:paraId="3E872590">
            <w:pPr>
              <w:adjustRightInd w:val="0"/>
              <w:snapToGrid w:val="0"/>
              <w:spacing w:line="360" w:lineRule="auto"/>
              <w:jc w:val="center"/>
              <w:rPr>
                <w:rFonts w:ascii="Times New Roman" w:hAnsi="Times New Roman" w:eastAsia="宋体"/>
                <w:color w:val="333333"/>
                <w:sz w:val="21"/>
                <w:szCs w:val="21"/>
                <w:shd w:val="clear" w:color="auto" w:fill="FFFFFF"/>
              </w:rPr>
            </w:pPr>
            <w:r>
              <w:rPr>
                <w:rFonts w:ascii="Times New Roman" w:hAnsi="Times New Roman" w:eastAsia="宋体"/>
                <w:color w:val="333333"/>
                <w:sz w:val="21"/>
                <w:szCs w:val="21"/>
                <w:shd w:val="clear" w:color="auto" w:fill="FFFFFF"/>
              </w:rPr>
              <w:t>SaO</w:t>
            </w:r>
            <w:r>
              <w:rPr>
                <w:rFonts w:ascii="Times New Roman" w:hAnsi="Times New Roman" w:eastAsia="宋体"/>
                <w:color w:val="333333"/>
                <w:sz w:val="21"/>
                <w:szCs w:val="21"/>
                <w:shd w:val="clear" w:color="auto" w:fill="FFFFFF"/>
                <w:vertAlign w:val="subscript"/>
              </w:rPr>
              <w:t>2</w:t>
            </w:r>
          </w:p>
        </w:tc>
      </w:tr>
      <w:tr w14:paraId="40250E4C">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3043400F">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潮气量</w:t>
            </w:r>
          </w:p>
        </w:tc>
        <w:tc>
          <w:tcPr>
            <w:tcW w:w="2388" w:type="pct"/>
          </w:tcPr>
          <w:p w14:paraId="314AF83E">
            <w:pPr>
              <w:adjustRightInd w:val="0"/>
              <w:snapToGrid w:val="0"/>
              <w:spacing w:line="360" w:lineRule="auto"/>
              <w:jc w:val="center"/>
              <w:rPr>
                <w:rFonts w:ascii="Times New Roman" w:hAnsi="Times New Roman" w:eastAsia="宋体"/>
                <w:sz w:val="21"/>
              </w:rPr>
            </w:pPr>
            <w:r>
              <w:rPr>
                <w:rFonts w:ascii="Times New Roman" w:hAnsi="Times New Roman" w:eastAsia="宋体"/>
                <w:color w:val="000000"/>
                <w:sz w:val="21"/>
                <w:lang w:eastAsia="zh-CN"/>
              </w:rPr>
              <w:t>tidal volume</w:t>
            </w:r>
          </w:p>
        </w:tc>
        <w:tc>
          <w:tcPr>
            <w:tcW w:w="1077" w:type="pct"/>
          </w:tcPr>
          <w:p w14:paraId="19DA0B7E">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TV</w:t>
            </w:r>
          </w:p>
        </w:tc>
      </w:tr>
      <w:tr w14:paraId="1350AF3D">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456921DE">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纤维蛋白原</w:t>
            </w:r>
          </w:p>
        </w:tc>
        <w:tc>
          <w:tcPr>
            <w:tcW w:w="2388" w:type="pct"/>
          </w:tcPr>
          <w:p w14:paraId="449FC74A">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sz w:val="21"/>
                <w:lang w:eastAsia="zh-CN"/>
              </w:rPr>
              <w:t>fibrinogen</w:t>
            </w:r>
          </w:p>
        </w:tc>
        <w:tc>
          <w:tcPr>
            <w:tcW w:w="1077" w:type="pct"/>
          </w:tcPr>
          <w:p w14:paraId="1783165E">
            <w:pPr>
              <w:adjustRightInd w:val="0"/>
              <w:snapToGrid w:val="0"/>
              <w:spacing w:line="360" w:lineRule="auto"/>
              <w:jc w:val="center"/>
              <w:rPr>
                <w:rFonts w:ascii="Times New Roman" w:hAnsi="Times New Roman" w:eastAsia="宋体"/>
                <w:sz w:val="21"/>
                <w:lang w:eastAsia="zh-CN"/>
              </w:rPr>
            </w:pPr>
            <w:r>
              <w:rPr>
                <w:rFonts w:ascii="Times New Roman" w:hAnsi="Times New Roman" w:eastAsia="宋体"/>
                <w:sz w:val="21"/>
                <w:lang w:eastAsia="zh-CN"/>
              </w:rPr>
              <w:t>FIB</w:t>
            </w:r>
          </w:p>
        </w:tc>
      </w:tr>
      <w:tr w14:paraId="68C2853A">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001553CA">
            <w:pPr>
              <w:adjustRightInd w:val="0"/>
              <w:snapToGrid w:val="0"/>
              <w:spacing w:line="360" w:lineRule="auto"/>
              <w:jc w:val="center"/>
              <w:rPr>
                <w:rFonts w:ascii="Times New Roman" w:hAnsi="Times New Roman" w:eastAsia="宋体"/>
                <w:sz w:val="21"/>
              </w:rPr>
            </w:pPr>
            <w:r>
              <w:rPr>
                <w:rStyle w:val="74"/>
                <w:rFonts w:ascii="Times New Roman" w:hAnsi="Times New Roman" w:eastAsia="宋体"/>
                <w:sz w:val="21"/>
              </w:rPr>
              <w:t>凝血酶凝固时间</w:t>
            </w:r>
          </w:p>
        </w:tc>
        <w:tc>
          <w:tcPr>
            <w:tcW w:w="2388" w:type="pct"/>
          </w:tcPr>
          <w:p w14:paraId="773FD7A4">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sz w:val="21"/>
              </w:rPr>
              <w:t>thrombin time</w:t>
            </w:r>
          </w:p>
        </w:tc>
        <w:tc>
          <w:tcPr>
            <w:tcW w:w="1077" w:type="pct"/>
          </w:tcPr>
          <w:p w14:paraId="559601D2">
            <w:pPr>
              <w:adjustRightInd w:val="0"/>
              <w:snapToGrid w:val="0"/>
              <w:spacing w:line="360" w:lineRule="auto"/>
              <w:jc w:val="center"/>
              <w:rPr>
                <w:rFonts w:ascii="Times New Roman" w:hAnsi="Times New Roman" w:eastAsia="宋体"/>
                <w:sz w:val="21"/>
              </w:rPr>
            </w:pPr>
            <w:r>
              <w:rPr>
                <w:rFonts w:ascii="Times New Roman" w:hAnsi="Times New Roman" w:eastAsia="宋体"/>
                <w:sz w:val="21"/>
                <w:lang w:eastAsia="zh-CN"/>
              </w:rPr>
              <w:t>TT</w:t>
            </w:r>
          </w:p>
        </w:tc>
      </w:tr>
      <w:tr w14:paraId="634E46E0">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4B92822C">
            <w:pPr>
              <w:adjustRightInd w:val="0"/>
              <w:snapToGrid w:val="0"/>
              <w:spacing w:line="360" w:lineRule="auto"/>
              <w:jc w:val="center"/>
              <w:rPr>
                <w:rFonts w:ascii="Times New Roman" w:hAnsi="Times New Roman" w:eastAsia="宋体"/>
                <w:sz w:val="21"/>
                <w:lang w:eastAsia="zh-CN"/>
              </w:rPr>
            </w:pPr>
            <w:r>
              <w:rPr>
                <w:rFonts w:ascii="Times New Roman" w:hAnsi="Times New Roman" w:eastAsia="宋体"/>
                <w:sz w:val="21"/>
                <w:lang w:eastAsia="zh-CN"/>
              </w:rPr>
              <w:t>纤溶酶原激活物抑制物</w:t>
            </w:r>
          </w:p>
        </w:tc>
        <w:tc>
          <w:tcPr>
            <w:tcW w:w="2388" w:type="pct"/>
          </w:tcPr>
          <w:p w14:paraId="07FF9BBA">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color w:val="000000"/>
                <w:sz w:val="21"/>
                <w:lang w:eastAsia="zh-CN"/>
              </w:rPr>
              <w:t>plasminogen activator inhibitor-1</w:t>
            </w:r>
          </w:p>
        </w:tc>
        <w:tc>
          <w:tcPr>
            <w:tcW w:w="1077" w:type="pct"/>
          </w:tcPr>
          <w:p w14:paraId="28563E04">
            <w:pPr>
              <w:adjustRightInd w:val="0"/>
              <w:snapToGrid w:val="0"/>
              <w:spacing w:line="360" w:lineRule="auto"/>
              <w:jc w:val="center"/>
              <w:rPr>
                <w:rFonts w:ascii="Times New Roman" w:hAnsi="Times New Roman" w:eastAsia="宋体"/>
                <w:sz w:val="21"/>
              </w:rPr>
            </w:pPr>
            <w:r>
              <w:rPr>
                <w:rFonts w:ascii="Times New Roman" w:hAnsi="Times New Roman" w:eastAsia="宋体"/>
                <w:color w:val="000000"/>
                <w:sz w:val="21"/>
                <w:lang w:eastAsia="zh-CN"/>
              </w:rPr>
              <w:t>PAI-1</w:t>
            </w:r>
          </w:p>
        </w:tc>
      </w:tr>
      <w:tr w14:paraId="2831D43F">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3D201C8C">
            <w:pPr>
              <w:adjustRightInd w:val="0"/>
              <w:snapToGrid w:val="0"/>
              <w:spacing w:line="360" w:lineRule="auto"/>
              <w:jc w:val="center"/>
              <w:rPr>
                <w:rFonts w:ascii="Times New Roman" w:hAnsi="Times New Roman" w:eastAsia="宋体"/>
                <w:sz w:val="21"/>
                <w:lang w:eastAsia="zh-CN"/>
              </w:rPr>
            </w:pPr>
            <w:r>
              <w:rPr>
                <w:rFonts w:ascii="Times New Roman" w:hAnsi="Times New Roman" w:eastAsia="宋体"/>
                <w:color w:val="000000"/>
                <w:sz w:val="21"/>
              </w:rPr>
              <w:t>纤维蛋白降解产物</w:t>
            </w:r>
          </w:p>
        </w:tc>
        <w:tc>
          <w:tcPr>
            <w:tcW w:w="2388" w:type="pct"/>
          </w:tcPr>
          <w:p w14:paraId="7363349E">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sz w:val="21"/>
                <w:lang w:eastAsia="zh-CN"/>
              </w:rPr>
              <w:t>f</w:t>
            </w:r>
            <w:r>
              <w:rPr>
                <w:rFonts w:ascii="Times New Roman" w:hAnsi="Times New Roman" w:eastAsia="宋体"/>
                <w:sz w:val="21"/>
              </w:rPr>
              <w:t>ibrin degradation products</w:t>
            </w:r>
          </w:p>
        </w:tc>
        <w:tc>
          <w:tcPr>
            <w:tcW w:w="1077" w:type="pct"/>
          </w:tcPr>
          <w:p w14:paraId="2C8B47C9">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color w:val="000000"/>
                <w:sz w:val="21"/>
                <w:lang w:eastAsia="zh-CN"/>
              </w:rPr>
              <w:t>FDP</w:t>
            </w:r>
          </w:p>
        </w:tc>
      </w:tr>
      <w:tr w14:paraId="42A3F026">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3F5836FF">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color w:val="000000"/>
                <w:sz w:val="21"/>
                <w:lang w:eastAsia="zh-CN"/>
              </w:rPr>
              <w:t>凝血酶抗凝血酶复合物</w:t>
            </w:r>
          </w:p>
        </w:tc>
        <w:tc>
          <w:tcPr>
            <w:tcW w:w="2388" w:type="pct"/>
          </w:tcPr>
          <w:p w14:paraId="05D05816">
            <w:pPr>
              <w:adjustRightInd w:val="0"/>
              <w:snapToGrid w:val="0"/>
              <w:spacing w:line="360" w:lineRule="auto"/>
              <w:jc w:val="center"/>
              <w:rPr>
                <w:rFonts w:ascii="Times New Roman" w:hAnsi="Times New Roman" w:eastAsia="宋体"/>
                <w:sz w:val="21"/>
                <w:lang w:eastAsia="zh-CN"/>
              </w:rPr>
            </w:pPr>
            <w:r>
              <w:rPr>
                <w:rFonts w:ascii="Times New Roman" w:hAnsi="Times New Roman" w:eastAsia="宋体"/>
                <w:sz w:val="21"/>
              </w:rPr>
              <w:t>Thrombin antithrombin complex</w:t>
            </w:r>
          </w:p>
        </w:tc>
        <w:tc>
          <w:tcPr>
            <w:tcW w:w="1077" w:type="pct"/>
          </w:tcPr>
          <w:p w14:paraId="31C6E368">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color w:val="000000"/>
                <w:sz w:val="21"/>
                <w:lang w:eastAsia="zh-CN"/>
              </w:rPr>
              <w:t>TAT</w:t>
            </w:r>
          </w:p>
        </w:tc>
      </w:tr>
      <w:tr w14:paraId="4E481379">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5C72AF85">
            <w:pPr>
              <w:adjustRightInd w:val="0"/>
              <w:snapToGrid w:val="0"/>
              <w:spacing w:line="360" w:lineRule="auto"/>
              <w:jc w:val="center"/>
              <w:rPr>
                <w:rFonts w:ascii="Times New Roman" w:hAnsi="Times New Roman" w:eastAsia="宋体"/>
                <w:sz w:val="21"/>
                <w:lang w:eastAsia="zh-CN"/>
              </w:rPr>
            </w:pPr>
            <w:r>
              <w:rPr>
                <w:rFonts w:ascii="Times New Roman" w:hAnsi="Times New Roman" w:eastAsia="宋体"/>
                <w:color w:val="000000"/>
                <w:sz w:val="21"/>
                <w:lang w:eastAsia="zh-CN"/>
              </w:rPr>
              <w:t>尿激酶型纤溶酶原激活剂</w:t>
            </w:r>
          </w:p>
        </w:tc>
        <w:tc>
          <w:tcPr>
            <w:tcW w:w="2388" w:type="pct"/>
          </w:tcPr>
          <w:p w14:paraId="25E47EF3">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color w:val="000000"/>
                <w:sz w:val="21"/>
                <w:lang w:eastAsia="zh-CN"/>
              </w:rPr>
              <w:t>urokinase-type plasminogen activator</w:t>
            </w:r>
          </w:p>
        </w:tc>
        <w:tc>
          <w:tcPr>
            <w:tcW w:w="1077" w:type="pct"/>
          </w:tcPr>
          <w:p w14:paraId="503F83EA">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color w:val="000000"/>
                <w:sz w:val="21"/>
                <w:lang w:eastAsia="zh-CN"/>
              </w:rPr>
              <w:t>u-PA</w:t>
            </w:r>
          </w:p>
        </w:tc>
      </w:tr>
      <w:tr w14:paraId="2F174C2E">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0BCD67B9">
            <w:pPr>
              <w:adjustRightInd w:val="0"/>
              <w:snapToGrid w:val="0"/>
              <w:spacing w:line="360" w:lineRule="auto"/>
              <w:jc w:val="center"/>
              <w:rPr>
                <w:rFonts w:ascii="Times New Roman" w:hAnsi="Times New Roman" w:eastAsia="宋体"/>
                <w:sz w:val="21"/>
                <w:lang w:eastAsia="zh-CN"/>
              </w:rPr>
            </w:pPr>
            <w:r>
              <w:rPr>
                <w:rFonts w:ascii="Times New Roman" w:hAnsi="Times New Roman" w:eastAsia="宋体"/>
                <w:sz w:val="21"/>
                <w:lang w:eastAsia="zh-CN"/>
              </w:rPr>
              <w:t>组织型纤溶酶原激活物</w:t>
            </w:r>
          </w:p>
        </w:tc>
        <w:tc>
          <w:tcPr>
            <w:tcW w:w="2388" w:type="pct"/>
          </w:tcPr>
          <w:p w14:paraId="43B28296">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color w:val="000000"/>
                <w:sz w:val="21"/>
                <w:lang w:eastAsia="zh-CN"/>
              </w:rPr>
              <w:t>tissue-type plasminogen activator</w:t>
            </w:r>
          </w:p>
        </w:tc>
        <w:tc>
          <w:tcPr>
            <w:tcW w:w="1077" w:type="pct"/>
          </w:tcPr>
          <w:p w14:paraId="2D38CDDA">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color w:val="000000"/>
                <w:sz w:val="21"/>
                <w:lang w:eastAsia="zh-CN"/>
              </w:rPr>
              <w:t>t-PA</w:t>
            </w:r>
          </w:p>
        </w:tc>
      </w:tr>
      <w:tr w14:paraId="0E1A8577">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1535" w:type="pct"/>
          </w:tcPr>
          <w:p w14:paraId="3C04B660">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血栓调节素</w:t>
            </w:r>
          </w:p>
        </w:tc>
        <w:tc>
          <w:tcPr>
            <w:tcW w:w="2388" w:type="pct"/>
          </w:tcPr>
          <w:p w14:paraId="1CA7E8F7">
            <w:pPr>
              <w:adjustRightInd w:val="0"/>
              <w:snapToGrid w:val="0"/>
              <w:spacing w:line="360" w:lineRule="auto"/>
              <w:jc w:val="center"/>
              <w:rPr>
                <w:rFonts w:ascii="Times New Roman" w:hAnsi="Times New Roman" w:eastAsia="宋体"/>
                <w:color w:val="000000"/>
                <w:sz w:val="21"/>
                <w:lang w:eastAsia="zh-CN"/>
              </w:rPr>
            </w:pPr>
            <w:r>
              <w:rPr>
                <w:rFonts w:ascii="Times New Roman" w:hAnsi="Times New Roman" w:eastAsia="宋体"/>
                <w:color w:val="000000"/>
                <w:sz w:val="21"/>
                <w:lang w:eastAsia="zh-CN"/>
              </w:rPr>
              <w:t>thrombomodulin</w:t>
            </w:r>
          </w:p>
        </w:tc>
        <w:tc>
          <w:tcPr>
            <w:tcW w:w="1077" w:type="pct"/>
          </w:tcPr>
          <w:p w14:paraId="409D4C43">
            <w:pPr>
              <w:adjustRightInd w:val="0"/>
              <w:snapToGrid w:val="0"/>
              <w:spacing w:line="360" w:lineRule="auto"/>
              <w:jc w:val="center"/>
              <w:rPr>
                <w:rFonts w:ascii="Times New Roman" w:hAnsi="Times New Roman" w:eastAsia="宋体"/>
                <w:sz w:val="21"/>
              </w:rPr>
            </w:pPr>
            <w:r>
              <w:rPr>
                <w:rFonts w:ascii="Times New Roman" w:hAnsi="Times New Roman" w:eastAsia="宋体"/>
                <w:sz w:val="21"/>
              </w:rPr>
              <w:t>TM</w:t>
            </w:r>
          </w:p>
        </w:tc>
      </w:tr>
    </w:tbl>
    <w:p w14:paraId="767B4B1F">
      <w:pPr>
        <w:spacing w:line="360" w:lineRule="auto"/>
        <w:jc w:val="both"/>
        <w:rPr>
          <w:rFonts w:ascii="黑体" w:hAnsi="黑体" w:eastAsia="黑体" w:cs="黑体"/>
          <w:color w:val="000000"/>
          <w:sz w:val="21"/>
          <w:lang w:eastAsia="zh-CN"/>
        </w:rPr>
      </w:pPr>
    </w:p>
    <w:p w14:paraId="2E6C4CEB">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4</w:t>
      </w:r>
      <w:r>
        <w:rPr>
          <w:rFonts w:hint="eastAsia" w:ascii="黑体" w:hAnsi="黑体" w:eastAsia="黑体" w:cs="黑体"/>
          <w:color w:val="000000"/>
          <w:sz w:val="21"/>
          <w:lang w:eastAsia="zh-CN"/>
        </w:rPr>
        <w:t xml:space="preserve">  </w:t>
      </w:r>
      <w:bookmarkStart w:id="1" w:name="_Hlk117695728"/>
      <w:r>
        <w:rPr>
          <w:rFonts w:hint="eastAsia" w:ascii="黑体" w:hAnsi="黑体" w:eastAsia="黑体" w:cs="黑体"/>
          <w:color w:val="000000"/>
          <w:sz w:val="21"/>
          <w:lang w:eastAsia="zh-CN"/>
        </w:rPr>
        <w:t>动物模型的选择</w:t>
      </w:r>
      <w:bookmarkEnd w:id="1"/>
    </w:p>
    <w:p w14:paraId="629096AE">
      <w:pPr>
        <w:spacing w:line="360" w:lineRule="auto"/>
        <w:jc w:val="both"/>
        <w:rPr>
          <w:color w:val="000000"/>
          <w:sz w:val="21"/>
          <w:lang w:eastAsia="zh-CN"/>
        </w:rPr>
      </w:pPr>
      <w:r>
        <w:rPr>
          <w:rFonts w:ascii="黑体" w:hAnsi="黑体" w:eastAsia="黑体" w:cs="黑体"/>
          <w:color w:val="000000"/>
          <w:sz w:val="21"/>
          <w:lang w:eastAsia="zh-CN"/>
        </w:rPr>
        <w:t>4</w:t>
      </w:r>
      <w:r>
        <w:rPr>
          <w:rFonts w:hint="eastAsia" w:ascii="黑体" w:hAnsi="黑体" w:eastAsia="黑体" w:cs="黑体"/>
          <w:color w:val="000000"/>
          <w:sz w:val="21"/>
          <w:lang w:eastAsia="zh-CN"/>
        </w:rPr>
        <w:t>.1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选择原则</w:t>
      </w:r>
    </w:p>
    <w:p w14:paraId="5FE06AFD">
      <w:pPr>
        <w:spacing w:line="360" w:lineRule="auto"/>
        <w:ind w:firstLine="420" w:firstLineChars="200"/>
        <w:jc w:val="both"/>
        <w:rPr>
          <w:rFonts w:ascii="宋体" w:hAnsi="宋体"/>
          <w:color w:val="000000"/>
          <w:sz w:val="21"/>
          <w:lang w:eastAsia="zh-CN"/>
        </w:rPr>
      </w:pPr>
      <w:r>
        <w:rPr>
          <w:rFonts w:hint="eastAsia" w:ascii="宋体" w:hAnsi="宋体"/>
          <w:color w:val="000000"/>
          <w:sz w:val="21"/>
          <w:lang w:eastAsia="zh-CN"/>
        </w:rPr>
        <w:t>肺纤维化病因不明，研究显示该病的发生与环境和遗传有关，所选择的动物模型应能够很好地模拟临床发病的特征，在一定范围内满足研究需要；同时，应具备一定的经济性且容易获得。</w:t>
      </w:r>
    </w:p>
    <w:p w14:paraId="02DF2BBF">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4.2</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模型选择</w:t>
      </w:r>
    </w:p>
    <w:p w14:paraId="31DFFB15">
      <w:pPr>
        <w:spacing w:line="360" w:lineRule="auto"/>
        <w:ind w:firstLine="420" w:firstLineChars="200"/>
        <w:jc w:val="both"/>
        <w:rPr>
          <w:rFonts w:ascii="宋体" w:hAnsi="宋体"/>
          <w:color w:val="000000"/>
          <w:sz w:val="21"/>
          <w:lang w:eastAsia="zh-CN"/>
        </w:rPr>
      </w:pPr>
      <w:r>
        <w:rPr>
          <w:rFonts w:hint="eastAsia"/>
          <w:sz w:val="21"/>
          <w:szCs w:val="21"/>
          <w:lang w:eastAsia="zh-CN"/>
        </w:rPr>
        <w:t>肺纤维动物模型的构建方法包括博来霉素、石棉、百草枯、辐射、二氧化硅、转基因等，转基因模型因为造模成本和技术原因使用较为局限，针对明确诱因如辐射、矽肺等可考虑采用辐射、石棉二氧化硅（矽肺）诱导。</w:t>
      </w:r>
      <w:bookmarkStart w:id="2" w:name="_Hlk157246719"/>
      <w:r>
        <w:rPr>
          <w:rFonts w:hint="eastAsia" w:ascii="宋体" w:hAnsi="宋体"/>
          <w:color w:val="000000"/>
          <w:sz w:val="21"/>
          <w:lang w:eastAsia="zh-CN"/>
        </w:rPr>
        <w:t>博来霉素</w:t>
      </w:r>
      <w:r>
        <w:rPr>
          <w:rFonts w:ascii="宋体" w:hAnsi="宋体"/>
          <w:color w:val="000000"/>
          <w:sz w:val="21"/>
          <w:lang w:eastAsia="zh-CN"/>
        </w:rPr>
        <w:t>诱导的肺纤维化在病理组织学方面的改变与人</w:t>
      </w:r>
      <w:r>
        <w:rPr>
          <w:rFonts w:hint="eastAsia" w:ascii="宋体" w:hAnsi="宋体"/>
          <w:color w:val="000000"/>
          <w:sz w:val="21"/>
          <w:lang w:eastAsia="zh-CN"/>
        </w:rPr>
        <w:t>肺纤维化</w:t>
      </w:r>
      <w:r>
        <w:rPr>
          <w:rFonts w:ascii="宋体" w:hAnsi="宋体"/>
          <w:color w:val="000000"/>
          <w:sz w:val="21"/>
          <w:lang w:eastAsia="zh-CN"/>
        </w:rPr>
        <w:t>最为相近，是目前</w:t>
      </w:r>
      <w:r>
        <w:rPr>
          <w:rFonts w:hint="eastAsia" w:ascii="宋体" w:hAnsi="宋体"/>
          <w:color w:val="000000"/>
          <w:sz w:val="21"/>
          <w:lang w:eastAsia="zh-CN"/>
        </w:rPr>
        <w:t>国内外</w:t>
      </w:r>
      <w:r>
        <w:rPr>
          <w:rFonts w:ascii="宋体" w:hAnsi="宋体"/>
          <w:color w:val="000000"/>
          <w:sz w:val="21"/>
          <w:lang w:eastAsia="zh-CN"/>
        </w:rPr>
        <w:t>研究</w:t>
      </w:r>
      <w:r>
        <w:rPr>
          <w:rFonts w:hint="eastAsia" w:ascii="宋体" w:hAnsi="宋体"/>
          <w:color w:val="000000"/>
          <w:sz w:val="21"/>
          <w:lang w:eastAsia="zh-CN"/>
        </w:rPr>
        <w:t>肺纤维化</w:t>
      </w:r>
      <w:r>
        <w:rPr>
          <w:rFonts w:ascii="宋体" w:hAnsi="宋体"/>
          <w:color w:val="000000"/>
          <w:sz w:val="21"/>
          <w:lang w:eastAsia="zh-CN"/>
        </w:rPr>
        <w:t>最常用的</w:t>
      </w:r>
      <w:r>
        <w:rPr>
          <w:rFonts w:hint="eastAsia" w:ascii="宋体" w:hAnsi="宋体"/>
          <w:color w:val="000000"/>
          <w:sz w:val="21"/>
          <w:lang w:eastAsia="zh-CN"/>
        </w:rPr>
        <w:t>造模</w:t>
      </w:r>
      <w:r>
        <w:rPr>
          <w:rFonts w:ascii="宋体" w:hAnsi="宋体"/>
          <w:color w:val="000000"/>
          <w:sz w:val="21"/>
          <w:lang w:eastAsia="zh-CN"/>
        </w:rPr>
        <w:t>手段</w:t>
      </w:r>
      <w:r>
        <w:rPr>
          <w:rFonts w:hint="eastAsia" w:ascii="宋体" w:hAnsi="宋体"/>
          <w:color w:val="000000"/>
          <w:sz w:val="21"/>
          <w:lang w:eastAsia="zh-CN"/>
        </w:rPr>
        <w:t>，本标准针对博来霉素诱导的肺纤维化鼠</w:t>
      </w:r>
      <w:r>
        <w:rPr>
          <w:rFonts w:ascii="宋体" w:hAnsi="宋体"/>
          <w:color w:val="000000"/>
          <w:sz w:val="21"/>
          <w:lang w:eastAsia="zh-CN"/>
        </w:rPr>
        <w:t>模型制备与评价规范</w:t>
      </w:r>
      <w:r>
        <w:rPr>
          <w:rFonts w:hint="eastAsia" w:ascii="宋体" w:hAnsi="宋体"/>
          <w:color w:val="000000"/>
          <w:sz w:val="21"/>
          <w:lang w:eastAsia="zh-CN"/>
        </w:rPr>
        <w:t>。</w:t>
      </w:r>
    </w:p>
    <w:bookmarkEnd w:id="2"/>
    <w:p w14:paraId="58B06882">
      <w:pPr>
        <w:spacing w:line="360" w:lineRule="auto"/>
        <w:jc w:val="both"/>
        <w:rPr>
          <w:rFonts w:ascii="黑体" w:hAnsi="黑体" w:eastAsia="黑体"/>
          <w:color w:val="000000"/>
          <w:sz w:val="21"/>
          <w:szCs w:val="21"/>
          <w:lang w:eastAsia="zh-CN"/>
        </w:rPr>
      </w:pPr>
      <w:bookmarkStart w:id="3" w:name="_Hlk152926354"/>
      <w:r>
        <w:rPr>
          <w:rFonts w:hint="eastAsia" w:ascii="黑体" w:hAnsi="黑体" w:eastAsia="黑体"/>
          <w:color w:val="000000"/>
          <w:sz w:val="21"/>
          <w:szCs w:val="21"/>
          <w:lang w:eastAsia="zh-CN"/>
        </w:rPr>
        <w:t>4.</w:t>
      </w:r>
      <w:r>
        <w:rPr>
          <w:rFonts w:ascii="黑体" w:hAnsi="黑体" w:eastAsia="黑体"/>
          <w:color w:val="000000"/>
          <w:sz w:val="21"/>
          <w:szCs w:val="21"/>
          <w:lang w:eastAsia="zh-CN"/>
        </w:rPr>
        <w:t>3</w:t>
      </w:r>
      <w:r>
        <w:rPr>
          <w:rFonts w:hint="eastAsia" w:ascii="黑体" w:hAnsi="黑体" w:eastAsia="黑体"/>
          <w:color w:val="000000"/>
          <w:sz w:val="21"/>
          <w:szCs w:val="21"/>
          <w:lang w:eastAsia="zh-CN"/>
        </w:rPr>
        <w:t xml:space="preserve"> 实验动物</w:t>
      </w:r>
    </w:p>
    <w:bookmarkEnd w:id="3"/>
    <w:p w14:paraId="114A60A3">
      <w:pPr>
        <w:spacing w:line="360" w:lineRule="auto"/>
        <w:ind w:firstLine="420" w:firstLineChars="200"/>
        <w:jc w:val="both"/>
        <w:rPr>
          <w:rFonts w:ascii="宋体" w:hAnsi="宋体"/>
          <w:color w:val="000000"/>
          <w:sz w:val="21"/>
          <w:lang w:eastAsia="zh-CN"/>
        </w:rPr>
      </w:pPr>
      <w:r>
        <w:rPr>
          <w:rFonts w:hint="eastAsia" w:ascii="宋体" w:hAnsi="宋体"/>
          <w:color w:val="000000"/>
          <w:sz w:val="21"/>
          <w:lang w:eastAsia="zh-CN"/>
        </w:rPr>
        <w:t>实验动物可选择小鼠、大鼠、仓鼠、兔和豚鼠等啮齿类动物,也可以采用犬、猪、羊和灵长类动物等。大小鼠肺纤维化模型能够精确显示肺纤维化患者的重要特征，气管给药所致模型的病理状态与临床相近，</w:t>
      </w:r>
      <w:bookmarkStart w:id="4" w:name="_Hlk152926475"/>
      <w:r>
        <w:rPr>
          <w:rFonts w:hint="eastAsia" w:ascii="宋体" w:hAnsi="宋体"/>
          <w:color w:val="000000"/>
          <w:sz w:val="21"/>
          <w:lang w:eastAsia="zh-CN"/>
        </w:rPr>
        <w:t>且具备一定的经济性并容易获得，是目前肺纤维化研究最为常用的动物</w:t>
      </w:r>
      <w:bookmarkEnd w:id="4"/>
      <w:r>
        <w:rPr>
          <w:rFonts w:hint="eastAsia" w:ascii="宋体" w:hAnsi="宋体"/>
          <w:color w:val="000000"/>
          <w:sz w:val="21"/>
          <w:lang w:eastAsia="zh-CN"/>
        </w:rPr>
        <w:t>。小鼠</w:t>
      </w:r>
      <w:r>
        <w:rPr>
          <w:color w:val="000000"/>
          <w:sz w:val="21"/>
          <w:lang w:eastAsia="zh-CN"/>
        </w:rPr>
        <w:t>易饲养、成本低、繁殖周期短，可操作性强</w:t>
      </w:r>
      <w:r>
        <w:rPr>
          <w:rFonts w:hint="eastAsia"/>
          <w:color w:val="000000"/>
          <w:sz w:val="21"/>
          <w:lang w:eastAsia="zh-CN"/>
        </w:rPr>
        <w:t>，</w:t>
      </w:r>
      <w:r>
        <w:rPr>
          <w:color w:val="000000"/>
          <w:sz w:val="21"/>
          <w:lang w:eastAsia="zh-CN"/>
        </w:rPr>
        <w:t>但小鼠肺脏解剖结构异于人类，支气管分支数量明显少于人类</w:t>
      </w:r>
      <w:r>
        <w:rPr>
          <w:rFonts w:hint="eastAsia"/>
          <w:color w:val="000000"/>
          <w:sz w:val="21"/>
          <w:lang w:eastAsia="zh-CN"/>
        </w:rPr>
        <w:t>。大鼠模型的优缺点与小鼠相似</w:t>
      </w:r>
      <w:bookmarkStart w:id="5" w:name="_Hlk152926543"/>
      <w:r>
        <w:rPr>
          <w:rFonts w:hint="eastAsia"/>
          <w:color w:val="000000"/>
          <w:sz w:val="21"/>
          <w:lang w:eastAsia="zh-CN"/>
        </w:rPr>
        <w:t>但与小鼠相比大鼠静脉及气管内给药、肺组织和肺泡灌洗液等标本采集更加便利。</w:t>
      </w:r>
    </w:p>
    <w:bookmarkEnd w:id="5"/>
    <w:p w14:paraId="682E6B01">
      <w:pPr>
        <w:spacing w:line="360" w:lineRule="auto"/>
        <w:jc w:val="both"/>
        <w:rPr>
          <w:rFonts w:ascii="黑体" w:hAnsi="黑体" w:eastAsia="黑体" w:cs="黑体"/>
          <w:color w:val="000000"/>
          <w:sz w:val="21"/>
          <w:lang w:eastAsia="zh-CN"/>
        </w:rPr>
      </w:pPr>
      <w:bookmarkStart w:id="6" w:name="_Hlk152926653"/>
      <w:r>
        <w:rPr>
          <w:rFonts w:ascii="黑体" w:hAnsi="黑体" w:eastAsia="黑体" w:cs="黑体"/>
          <w:color w:val="000000"/>
          <w:sz w:val="21"/>
          <w:lang w:eastAsia="zh-CN"/>
        </w:rPr>
        <w:t xml:space="preserve">4.4 </w:t>
      </w:r>
      <w:r>
        <w:rPr>
          <w:rFonts w:hint="eastAsia" w:ascii="黑体" w:hAnsi="黑体" w:eastAsia="黑体" w:cs="黑体"/>
          <w:color w:val="000000"/>
          <w:sz w:val="21"/>
          <w:lang w:eastAsia="zh-CN"/>
        </w:rPr>
        <w:t>实验动物种属、周龄</w:t>
      </w:r>
    </w:p>
    <w:p w14:paraId="1509D700">
      <w:pPr>
        <w:spacing w:line="360" w:lineRule="auto"/>
        <w:ind w:firstLine="420" w:firstLineChars="200"/>
        <w:jc w:val="both"/>
        <w:rPr>
          <w:color w:val="000000"/>
          <w:sz w:val="21"/>
          <w:lang w:eastAsia="zh-CN"/>
        </w:rPr>
      </w:pPr>
      <w:r>
        <w:rPr>
          <w:rFonts w:hint="eastAsia"/>
          <w:color w:val="000000"/>
          <w:sz w:val="21"/>
          <w:lang w:eastAsia="zh-CN"/>
        </w:rPr>
        <w:t>大鼠，种属Wistar、</w:t>
      </w:r>
      <w:r>
        <w:rPr>
          <w:color w:val="000000"/>
          <w:sz w:val="21"/>
          <w:lang w:eastAsia="zh-CN"/>
        </w:rPr>
        <w:t>Sprague Dawley</w:t>
      </w:r>
      <w:r>
        <w:rPr>
          <w:rFonts w:hint="eastAsia"/>
          <w:color w:val="000000"/>
          <w:sz w:val="21"/>
          <w:lang w:eastAsia="zh-CN"/>
        </w:rPr>
        <w:t>，宜选择</w:t>
      </w:r>
      <w:r>
        <w:rPr>
          <w:color w:val="000000"/>
          <w:sz w:val="21"/>
          <w:lang w:eastAsia="zh-CN"/>
        </w:rPr>
        <w:t>6</w:t>
      </w:r>
      <w:r>
        <w:rPr>
          <w:rFonts w:hint="eastAsia"/>
          <w:color w:val="000000"/>
          <w:sz w:val="21"/>
          <w:lang w:eastAsia="zh-CN"/>
        </w:rPr>
        <w:t>-8周龄，体重：</w:t>
      </w:r>
      <w:r>
        <w:rPr>
          <w:color w:val="000000"/>
          <w:sz w:val="21"/>
          <w:lang w:eastAsia="zh-CN"/>
        </w:rPr>
        <w:t xml:space="preserve">180-220 </w:t>
      </w:r>
      <w:r>
        <w:rPr>
          <w:rFonts w:hint="eastAsia"/>
          <w:color w:val="000000"/>
          <w:sz w:val="21"/>
          <w:lang w:eastAsia="zh-CN"/>
        </w:rPr>
        <w:t>g。</w:t>
      </w:r>
    </w:p>
    <w:p w14:paraId="2F8C1962">
      <w:pPr>
        <w:spacing w:line="360" w:lineRule="auto"/>
        <w:ind w:firstLine="420" w:firstLineChars="200"/>
        <w:jc w:val="both"/>
        <w:rPr>
          <w:color w:val="000000"/>
          <w:sz w:val="21"/>
          <w:lang w:eastAsia="zh-CN"/>
        </w:rPr>
      </w:pPr>
      <w:r>
        <w:rPr>
          <w:rFonts w:hint="eastAsia"/>
          <w:color w:val="000000"/>
          <w:sz w:val="21"/>
          <w:lang w:eastAsia="zh-CN"/>
        </w:rPr>
        <w:t>小鼠，种属</w:t>
      </w:r>
      <w:r>
        <w:rPr>
          <w:color w:val="000000"/>
          <w:sz w:val="21"/>
          <w:lang w:eastAsia="zh-CN"/>
        </w:rPr>
        <w:t>C57BL/6、BALB/c</w:t>
      </w:r>
      <w:r>
        <w:rPr>
          <w:rFonts w:hint="eastAsia"/>
          <w:color w:val="000000"/>
          <w:sz w:val="21"/>
          <w:lang w:eastAsia="zh-CN"/>
        </w:rPr>
        <w:t>、I</w:t>
      </w:r>
      <w:r>
        <w:rPr>
          <w:color w:val="000000"/>
          <w:sz w:val="21"/>
          <w:lang w:eastAsia="zh-CN"/>
        </w:rPr>
        <w:t>CR</w:t>
      </w:r>
      <w:r>
        <w:rPr>
          <w:rFonts w:hint="eastAsia"/>
          <w:color w:val="000000"/>
          <w:sz w:val="21"/>
          <w:lang w:eastAsia="zh-CN"/>
        </w:rPr>
        <w:t>或</w:t>
      </w:r>
      <w:r>
        <w:rPr>
          <w:color w:val="000000"/>
          <w:sz w:val="21"/>
          <w:lang w:eastAsia="zh-CN"/>
        </w:rPr>
        <w:t>KM</w:t>
      </w:r>
      <w:r>
        <w:rPr>
          <w:rFonts w:hint="eastAsia"/>
          <w:color w:val="000000"/>
          <w:sz w:val="21"/>
          <w:lang w:eastAsia="zh-CN"/>
        </w:rPr>
        <w:t>，宜选择</w:t>
      </w:r>
      <w:r>
        <w:rPr>
          <w:color w:val="000000"/>
          <w:sz w:val="21"/>
          <w:lang w:eastAsia="zh-CN"/>
        </w:rPr>
        <w:t>6</w:t>
      </w:r>
      <w:r>
        <w:rPr>
          <w:rFonts w:hint="eastAsia"/>
          <w:color w:val="000000"/>
          <w:sz w:val="21"/>
          <w:lang w:eastAsia="zh-CN"/>
        </w:rPr>
        <w:t>-8周龄，体重：</w:t>
      </w:r>
      <w:r>
        <w:rPr>
          <w:color w:val="000000"/>
          <w:sz w:val="21"/>
          <w:lang w:eastAsia="zh-CN"/>
        </w:rPr>
        <w:t xml:space="preserve">18-22 </w:t>
      </w:r>
      <w:r>
        <w:rPr>
          <w:rFonts w:hint="eastAsia"/>
          <w:color w:val="000000"/>
          <w:sz w:val="21"/>
          <w:lang w:eastAsia="zh-CN"/>
        </w:rPr>
        <w:t>g。</w:t>
      </w:r>
    </w:p>
    <w:p w14:paraId="05C1A140">
      <w:pPr>
        <w:spacing w:line="360" w:lineRule="auto"/>
        <w:ind w:firstLine="420" w:firstLineChars="200"/>
        <w:jc w:val="both"/>
        <w:rPr>
          <w:rFonts w:ascii="宋体" w:hAnsi="宋体"/>
          <w:color w:val="000000"/>
          <w:sz w:val="21"/>
          <w:lang w:eastAsia="zh-CN"/>
        </w:rPr>
      </w:pPr>
      <w:bookmarkStart w:id="7" w:name="_Hlk152963082"/>
      <w:r>
        <w:rPr>
          <w:rFonts w:hint="eastAsia" w:ascii="宋体" w:hAnsi="宋体"/>
          <w:color w:val="000000"/>
          <w:sz w:val="21"/>
          <w:lang w:eastAsia="zh-CN"/>
        </w:rPr>
        <w:t>实验用动物应符合国家有关规定的实验动物质量和等级要求。</w:t>
      </w:r>
    </w:p>
    <w:bookmarkEnd w:id="7"/>
    <w:p w14:paraId="6DA340E7">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 xml:space="preserve">4.5 </w:t>
      </w:r>
      <w:r>
        <w:rPr>
          <w:rFonts w:hint="eastAsia" w:ascii="黑体" w:hAnsi="黑体" w:eastAsia="黑体" w:cs="黑体"/>
          <w:color w:val="000000"/>
          <w:sz w:val="21"/>
          <w:lang w:eastAsia="zh-CN"/>
        </w:rPr>
        <w:t>性别选择</w:t>
      </w:r>
    </w:p>
    <w:p w14:paraId="01F9382C">
      <w:pPr>
        <w:spacing w:line="360" w:lineRule="auto"/>
        <w:ind w:firstLine="420" w:firstLineChars="200"/>
        <w:jc w:val="both"/>
        <w:rPr>
          <w:color w:val="000000"/>
          <w:sz w:val="21"/>
          <w:lang w:eastAsia="zh-CN"/>
        </w:rPr>
      </w:pPr>
      <w:r>
        <w:rPr>
          <w:rFonts w:hint="eastAsia"/>
          <w:color w:val="000000"/>
          <w:sz w:val="21"/>
          <w:lang w:eastAsia="zh-CN"/>
        </w:rPr>
        <w:t>相比于雌性动物，雄性个体差异相对较小成模率较高，宜选择雄性。</w:t>
      </w:r>
    </w:p>
    <w:p w14:paraId="73679029">
      <w:pPr>
        <w:spacing w:line="360" w:lineRule="auto"/>
        <w:jc w:val="both"/>
        <w:rPr>
          <w:rFonts w:ascii="黑体" w:hAnsi="黑体" w:eastAsia="黑体" w:cs="黑体"/>
          <w:sz w:val="21"/>
          <w:lang w:eastAsia="zh-CN"/>
        </w:rPr>
      </w:pPr>
      <w:r>
        <w:rPr>
          <w:rFonts w:ascii="黑体" w:hAnsi="黑体" w:eastAsia="黑体" w:cs="黑体"/>
          <w:sz w:val="21"/>
          <w:lang w:eastAsia="zh-CN"/>
        </w:rPr>
        <w:t xml:space="preserve">4.6 </w:t>
      </w:r>
      <w:r>
        <w:rPr>
          <w:rFonts w:hint="eastAsia" w:ascii="黑体" w:hAnsi="黑体" w:eastAsia="黑体" w:cs="黑体"/>
          <w:sz w:val="21"/>
          <w:lang w:eastAsia="zh-CN"/>
        </w:rPr>
        <w:t>实验动物饲养</w:t>
      </w:r>
    </w:p>
    <w:p w14:paraId="0BA5AED3">
      <w:pPr>
        <w:spacing w:line="360" w:lineRule="auto"/>
        <w:ind w:firstLine="420" w:firstLineChars="200"/>
        <w:jc w:val="both"/>
        <w:rPr>
          <w:sz w:val="21"/>
          <w:lang w:eastAsia="zh-CN"/>
        </w:rPr>
      </w:pPr>
      <w:r>
        <w:rPr>
          <w:color w:val="000000"/>
          <w:sz w:val="21"/>
          <w:lang w:eastAsia="zh-CN"/>
        </w:rPr>
        <w:t>12 h明暗交替，温度</w:t>
      </w:r>
      <w:r>
        <w:rPr>
          <w:rFonts w:hint="eastAsia"/>
          <w:color w:val="000000"/>
          <w:sz w:val="21"/>
          <w:lang w:eastAsia="zh-CN"/>
        </w:rPr>
        <w:t>2</w:t>
      </w:r>
      <w:r>
        <w:rPr>
          <w:color w:val="000000"/>
          <w:sz w:val="21"/>
          <w:lang w:eastAsia="zh-CN"/>
        </w:rPr>
        <w:t>2-26℃，湿度40-70%，</w:t>
      </w:r>
      <w:r>
        <w:rPr>
          <w:rFonts w:hint="eastAsia"/>
          <w:color w:val="000000"/>
          <w:sz w:val="21"/>
          <w:lang w:eastAsia="zh-CN"/>
        </w:rPr>
        <w:t>大小鼠维持饲料喂养，动物自由</w:t>
      </w:r>
      <w:r>
        <w:rPr>
          <w:color w:val="000000"/>
          <w:sz w:val="21"/>
          <w:lang w:eastAsia="zh-CN"/>
        </w:rPr>
        <w:t>饮水及进食。</w:t>
      </w:r>
      <w:r>
        <w:rPr>
          <w:rFonts w:hint="eastAsia"/>
          <w:color w:val="000000"/>
          <w:sz w:val="21"/>
          <w:lang w:eastAsia="zh-CN"/>
        </w:rPr>
        <w:t>每笼内的动物数应不影响动物生长和动物观察</w:t>
      </w:r>
      <w:r>
        <w:rPr>
          <w:rFonts w:hint="eastAsia"/>
          <w:sz w:val="21"/>
          <w:lang w:eastAsia="zh-CN"/>
        </w:rPr>
        <w:t>。</w:t>
      </w:r>
    </w:p>
    <w:p w14:paraId="04D94F14">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 xml:space="preserve">4.7 </w:t>
      </w:r>
      <w:r>
        <w:rPr>
          <w:rFonts w:hint="eastAsia" w:ascii="黑体" w:hAnsi="黑体" w:eastAsia="黑体" w:cs="黑体"/>
          <w:color w:val="000000"/>
          <w:sz w:val="21"/>
          <w:lang w:eastAsia="zh-CN"/>
        </w:rPr>
        <w:t>实验前准备</w:t>
      </w:r>
    </w:p>
    <w:p w14:paraId="0913117F">
      <w:pPr>
        <w:spacing w:line="360" w:lineRule="auto"/>
        <w:ind w:firstLine="420" w:firstLineChars="200"/>
        <w:jc w:val="both"/>
        <w:rPr>
          <w:color w:val="000000"/>
          <w:sz w:val="21"/>
          <w:lang w:eastAsia="zh-CN"/>
        </w:rPr>
      </w:pPr>
      <w:r>
        <w:rPr>
          <w:rFonts w:hint="eastAsia"/>
          <w:sz w:val="21"/>
          <w:lang w:eastAsia="zh-CN"/>
        </w:rPr>
        <w:t>实验动物应进行适应性喂养，模型制作后对存活动物进行随机分组并编号。</w:t>
      </w:r>
    </w:p>
    <w:bookmarkEnd w:id="6"/>
    <w:p w14:paraId="799667D2">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5</w:t>
      </w:r>
      <w:r>
        <w:rPr>
          <w:rFonts w:hint="eastAsia" w:ascii="黑体" w:hAnsi="黑体" w:eastAsia="黑体" w:cs="黑体"/>
          <w:color w:val="000000"/>
          <w:sz w:val="21"/>
          <w:lang w:eastAsia="zh-CN"/>
        </w:rPr>
        <w:t xml:space="preserve">  </w:t>
      </w:r>
      <w:bookmarkStart w:id="8" w:name="_Hlk117695736"/>
      <w:r>
        <w:rPr>
          <w:rFonts w:hint="eastAsia" w:ascii="黑体" w:hAnsi="黑体" w:eastAsia="黑体" w:cs="黑体"/>
          <w:color w:val="000000"/>
          <w:sz w:val="21"/>
          <w:lang w:eastAsia="zh-CN"/>
        </w:rPr>
        <w:t>模型制备方法</w:t>
      </w:r>
      <w:bookmarkEnd w:id="8"/>
    </w:p>
    <w:p w14:paraId="53B6AEA3">
      <w:pPr>
        <w:spacing w:line="360" w:lineRule="auto"/>
        <w:jc w:val="both"/>
        <w:rPr>
          <w:color w:val="000000"/>
          <w:sz w:val="21"/>
          <w:lang w:eastAsia="zh-CN"/>
        </w:rPr>
      </w:pPr>
      <w:r>
        <w:rPr>
          <w:rFonts w:ascii="黑体" w:hAnsi="黑体" w:eastAsia="黑体" w:cs="黑体"/>
          <w:color w:val="000000"/>
          <w:sz w:val="21"/>
          <w:lang w:eastAsia="zh-CN"/>
        </w:rPr>
        <w:t>5</w:t>
      </w:r>
      <w:r>
        <w:rPr>
          <w:rFonts w:hint="eastAsia" w:ascii="黑体" w:hAnsi="黑体" w:eastAsia="黑体" w:cs="黑体"/>
          <w:color w:val="000000"/>
          <w:sz w:val="21"/>
          <w:lang w:eastAsia="zh-CN"/>
        </w:rPr>
        <w:t>.1</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动物分组及数量</w:t>
      </w:r>
    </w:p>
    <w:p w14:paraId="0E4D4FF8">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5.1.1 动物分组</w:t>
      </w:r>
    </w:p>
    <w:p w14:paraId="6E5A6A5D">
      <w:pPr>
        <w:spacing w:line="360" w:lineRule="auto"/>
        <w:ind w:firstLine="420" w:firstLineChars="200"/>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应设立阴性对照组、模型组、阳性对照组、不同剂量受试物组。</w:t>
      </w:r>
    </w:p>
    <w:p w14:paraId="3F261928">
      <w:pPr>
        <w:spacing w:line="360" w:lineRule="auto"/>
        <w:ind w:firstLine="420" w:firstLineChars="200"/>
        <w:jc w:val="both"/>
        <w:rPr>
          <w:rFonts w:hint="default" w:ascii="Times New Roman" w:hAnsi="Times New Roman" w:eastAsia="宋体" w:cs="Times New Roman"/>
          <w:color w:val="000000"/>
          <w:sz w:val="21"/>
          <w:lang w:eastAsia="zh-CN"/>
        </w:rPr>
      </w:pPr>
      <w:bookmarkStart w:id="9" w:name="_Hlk152926728"/>
      <w:r>
        <w:rPr>
          <w:rFonts w:hint="default" w:ascii="Times New Roman" w:hAnsi="Times New Roman" w:eastAsia="宋体" w:cs="Times New Roman"/>
          <w:color w:val="000000"/>
          <w:sz w:val="21"/>
          <w:lang w:eastAsia="zh-CN"/>
        </w:rPr>
        <w:t>阴性对照组，一般采用生理盐水等溶剂作为对照。</w:t>
      </w:r>
    </w:p>
    <w:p w14:paraId="2E7F71AF">
      <w:pPr>
        <w:spacing w:line="360" w:lineRule="auto"/>
        <w:ind w:firstLine="420" w:firstLineChars="200"/>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阳性对照组，肺纤维化诊疗指南和专家共识一致推荐将吡非尼酮/尼达尼布作为抗纤维化治疗药物，因此可作为阳性对照药，也可以根据实验受试物的具体目标选择对应药物。</w:t>
      </w:r>
    </w:p>
    <w:p w14:paraId="3831512A">
      <w:pPr>
        <w:spacing w:line="360" w:lineRule="auto"/>
        <w:ind w:firstLine="420" w:firstLineChars="200"/>
        <w:jc w:val="both"/>
        <w:rPr>
          <w:rFonts w:hint="default" w:ascii="Times New Roman" w:hAnsi="Times New Roman" w:eastAsia="宋体" w:cs="Times New Roman"/>
          <w:color w:val="000000"/>
          <w:sz w:val="21"/>
          <w:lang w:eastAsia="zh-CN"/>
        </w:rPr>
      </w:pPr>
      <w:bookmarkStart w:id="10" w:name="_Hlk152926940"/>
      <w:r>
        <w:rPr>
          <w:rFonts w:hint="default" w:ascii="Times New Roman" w:hAnsi="Times New Roman" w:eastAsia="宋体" w:cs="Times New Roman"/>
          <w:color w:val="000000"/>
          <w:sz w:val="21"/>
          <w:lang w:eastAsia="zh-CN"/>
        </w:rPr>
        <w:t>根据实验需要设置不同剂量受试物组。</w:t>
      </w:r>
    </w:p>
    <w:bookmarkEnd w:id="9"/>
    <w:bookmarkEnd w:id="10"/>
    <w:p w14:paraId="23FCB668">
      <w:pPr>
        <w:spacing w:line="360" w:lineRule="auto"/>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5.1.2 动物数量</w:t>
      </w:r>
    </w:p>
    <w:p w14:paraId="27B3456D">
      <w:pPr>
        <w:spacing w:line="360" w:lineRule="auto"/>
        <w:ind w:firstLine="420" w:firstLineChars="200"/>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根据实验目的和观察指标不同实验数据所需的动物数量不完全一致，一般每组动物不少于10只。</w:t>
      </w:r>
    </w:p>
    <w:p w14:paraId="6EEFBDD9">
      <w:pPr>
        <w:spacing w:line="360" w:lineRule="auto"/>
        <w:jc w:val="both"/>
        <w:rPr>
          <w:rFonts w:ascii="黑体" w:hAnsi="黑体" w:eastAsia="黑体" w:cs="黑体"/>
          <w:color w:val="000000"/>
          <w:sz w:val="21"/>
          <w:lang w:eastAsia="zh-CN"/>
        </w:rPr>
      </w:pPr>
      <w:bookmarkStart w:id="11" w:name="_Hlk152927564"/>
      <w:r>
        <w:rPr>
          <w:rFonts w:ascii="黑体" w:hAnsi="黑体" w:eastAsia="黑体" w:cs="黑体"/>
          <w:color w:val="000000"/>
          <w:sz w:val="21"/>
          <w:lang w:eastAsia="zh-CN"/>
        </w:rPr>
        <w:t xml:space="preserve">5.2 </w:t>
      </w:r>
      <w:r>
        <w:rPr>
          <w:rFonts w:hint="eastAsia" w:ascii="黑体" w:hAnsi="黑体" w:eastAsia="黑体" w:cs="黑体"/>
          <w:color w:val="000000"/>
          <w:sz w:val="21"/>
          <w:lang w:eastAsia="zh-CN"/>
        </w:rPr>
        <w:t>诱发途径</w:t>
      </w:r>
    </w:p>
    <w:p w14:paraId="70FDD111">
      <w:pPr>
        <w:spacing w:line="360" w:lineRule="auto"/>
        <w:ind w:firstLine="420" w:firstLineChars="200"/>
        <w:jc w:val="both"/>
        <w:rPr>
          <w:color w:val="000000"/>
          <w:sz w:val="21"/>
          <w:lang w:eastAsia="zh-CN"/>
        </w:rPr>
      </w:pPr>
      <w:bookmarkStart w:id="12" w:name="_Hlk154734479"/>
      <w:r>
        <w:rPr>
          <w:rFonts w:hint="eastAsia"/>
          <w:color w:val="000000"/>
          <w:sz w:val="21"/>
          <w:lang w:eastAsia="zh-CN"/>
        </w:rPr>
        <w:t>博来霉素可通过气管内、腹腔、皮下、静脉以及吸入等多种方式诱导。腹腔、皮下、静脉注射为全身给药，由于上述给药方式为全身暴露，药物毒副作用较大，较少采用。气管给药包括气管滴注或气管注射方式给药，具有给剂量精确、药次数少、剂量小、制模时间短等优点，是目前主要采用的给药方式，其中气管注射往往需要手术剥离固定气管后注射具有一定的创伤性，推荐气管滴注给药。</w:t>
      </w:r>
    </w:p>
    <w:bookmarkEnd w:id="12"/>
    <w:p w14:paraId="72BE5E76">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 xml:space="preserve">5.3 </w:t>
      </w:r>
      <w:r>
        <w:rPr>
          <w:rFonts w:hint="eastAsia" w:ascii="黑体" w:hAnsi="黑体" w:eastAsia="黑体" w:cs="黑体"/>
          <w:color w:val="000000"/>
          <w:sz w:val="21"/>
          <w:lang w:eastAsia="zh-CN"/>
        </w:rPr>
        <w:t>剂量和频次</w:t>
      </w:r>
    </w:p>
    <w:p w14:paraId="177F5E30">
      <w:pPr>
        <w:spacing w:line="360" w:lineRule="auto"/>
        <w:ind w:firstLine="420" w:firstLineChars="200"/>
        <w:jc w:val="both"/>
        <w:rPr>
          <w:color w:val="000000"/>
          <w:sz w:val="21"/>
          <w:lang w:eastAsia="zh-CN"/>
        </w:rPr>
      </w:pPr>
      <w:r>
        <w:rPr>
          <w:rFonts w:hint="eastAsia"/>
          <w:color w:val="000000"/>
          <w:sz w:val="21"/>
          <w:lang w:eastAsia="zh-CN"/>
        </w:rPr>
        <w:t>气管内，小鼠一次性气管内滴注或者一次性气管内注射2</w:t>
      </w:r>
      <w:r>
        <w:rPr>
          <w:color w:val="000000"/>
          <w:sz w:val="21"/>
          <w:lang w:eastAsia="zh-CN"/>
        </w:rPr>
        <w:t>.5-5 mg/kg博来霉素，大鼠一次性气管内滴注或者一次性气管内注射3-5 mg/kg博来霉素。</w:t>
      </w:r>
    </w:p>
    <w:p w14:paraId="4BCAB7BF">
      <w:pPr>
        <w:spacing w:line="360" w:lineRule="auto"/>
        <w:ind w:firstLine="420" w:firstLineChars="200"/>
        <w:jc w:val="both"/>
        <w:rPr>
          <w:color w:val="000000"/>
          <w:sz w:val="21"/>
          <w:lang w:eastAsia="zh-CN"/>
        </w:rPr>
      </w:pPr>
      <w:r>
        <w:rPr>
          <w:rFonts w:hint="eastAsia"/>
          <w:color w:val="000000"/>
          <w:sz w:val="21"/>
          <w:lang w:eastAsia="zh-CN"/>
        </w:rPr>
        <w:t>腹腔，小鼠腹腔注射35</w:t>
      </w:r>
      <w:r>
        <w:rPr>
          <w:color w:val="000000"/>
          <w:sz w:val="21"/>
          <w:lang w:eastAsia="zh-CN"/>
        </w:rPr>
        <w:t xml:space="preserve"> </w:t>
      </w:r>
      <w:r>
        <w:rPr>
          <w:rFonts w:hint="eastAsia"/>
          <w:color w:val="000000"/>
          <w:sz w:val="21"/>
          <w:lang w:eastAsia="zh-CN"/>
        </w:rPr>
        <w:t>mg/kg博来霉素，一周2次，连续注射8次，或腹腔注射7</w:t>
      </w:r>
      <w:r>
        <w:rPr>
          <w:color w:val="000000"/>
          <w:sz w:val="21"/>
          <w:lang w:eastAsia="zh-CN"/>
        </w:rPr>
        <w:t>.5 mg/kg 博来霉素，每天1次，连续</w:t>
      </w:r>
      <w:r>
        <w:rPr>
          <w:rFonts w:hint="eastAsia"/>
          <w:color w:val="000000"/>
          <w:sz w:val="21"/>
          <w:lang w:eastAsia="zh-CN"/>
        </w:rPr>
        <w:t>1</w:t>
      </w:r>
      <w:r>
        <w:rPr>
          <w:color w:val="000000"/>
          <w:sz w:val="21"/>
          <w:lang w:eastAsia="zh-CN"/>
        </w:rPr>
        <w:t>0天。大鼠腹腔注射10 mg/kg 博来霉素，每天1次，连续</w:t>
      </w:r>
      <w:r>
        <w:rPr>
          <w:rFonts w:hint="eastAsia"/>
          <w:color w:val="000000"/>
          <w:sz w:val="21"/>
          <w:lang w:eastAsia="zh-CN"/>
        </w:rPr>
        <w:t>1</w:t>
      </w:r>
      <w:r>
        <w:rPr>
          <w:color w:val="000000"/>
          <w:sz w:val="21"/>
          <w:lang w:eastAsia="zh-CN"/>
        </w:rPr>
        <w:t>0天。</w:t>
      </w:r>
    </w:p>
    <w:p w14:paraId="4877B987">
      <w:pPr>
        <w:spacing w:line="360" w:lineRule="auto"/>
        <w:ind w:firstLine="420" w:firstLineChars="200"/>
        <w:jc w:val="both"/>
        <w:rPr>
          <w:color w:val="000000"/>
          <w:sz w:val="21"/>
          <w:lang w:eastAsia="zh-CN"/>
        </w:rPr>
      </w:pPr>
      <w:r>
        <w:rPr>
          <w:rFonts w:hint="eastAsia"/>
          <w:color w:val="000000"/>
          <w:sz w:val="21"/>
          <w:lang w:eastAsia="zh-CN"/>
        </w:rPr>
        <w:t xml:space="preserve">皮下，小鼠皮下注射 </w:t>
      </w:r>
      <w:r>
        <w:rPr>
          <w:color w:val="000000"/>
          <w:sz w:val="21"/>
          <w:lang w:eastAsia="zh-CN"/>
        </w:rPr>
        <w:t>5 mg/kg 博来霉素，每天一次，连续28天，或</w:t>
      </w:r>
      <w:r>
        <w:rPr>
          <w:rFonts w:hint="eastAsia"/>
          <w:color w:val="000000"/>
          <w:sz w:val="21"/>
          <w:lang w:eastAsia="zh-CN"/>
        </w:rPr>
        <w:t xml:space="preserve">皮下注射 </w:t>
      </w:r>
      <w:r>
        <w:rPr>
          <w:color w:val="000000"/>
          <w:sz w:val="21"/>
          <w:lang w:eastAsia="zh-CN"/>
        </w:rPr>
        <w:t>10 mg/kg 博来霉素，每两天一次，共</w:t>
      </w:r>
      <w:r>
        <w:rPr>
          <w:rFonts w:hint="eastAsia"/>
          <w:color w:val="000000"/>
          <w:sz w:val="21"/>
          <w:lang w:eastAsia="zh-CN"/>
        </w:rPr>
        <w:t>1</w:t>
      </w:r>
      <w:r>
        <w:rPr>
          <w:color w:val="000000"/>
          <w:sz w:val="21"/>
          <w:lang w:eastAsia="zh-CN"/>
        </w:rPr>
        <w:t>0次。</w:t>
      </w:r>
    </w:p>
    <w:p w14:paraId="4B701D20">
      <w:pPr>
        <w:spacing w:line="360" w:lineRule="auto"/>
        <w:ind w:firstLine="420" w:firstLineChars="200"/>
        <w:jc w:val="both"/>
        <w:rPr>
          <w:color w:val="000000"/>
          <w:sz w:val="21"/>
          <w:lang w:eastAsia="zh-CN"/>
        </w:rPr>
      </w:pPr>
      <w:r>
        <w:rPr>
          <w:rFonts w:hint="eastAsia"/>
          <w:color w:val="000000"/>
          <w:sz w:val="21"/>
          <w:lang w:eastAsia="zh-CN"/>
        </w:rPr>
        <w:t>静脉注射，小鼠一次性尾静脉注射2</w:t>
      </w:r>
      <w:r>
        <w:rPr>
          <w:color w:val="000000"/>
          <w:sz w:val="21"/>
          <w:lang w:eastAsia="zh-CN"/>
        </w:rPr>
        <w:t>00 mg/kg 博来霉素，或尾静脉</w:t>
      </w:r>
      <w:r>
        <w:rPr>
          <w:rFonts w:hint="eastAsia"/>
          <w:color w:val="000000"/>
          <w:sz w:val="21"/>
          <w:lang w:eastAsia="zh-CN"/>
        </w:rPr>
        <w:t xml:space="preserve">注射 </w:t>
      </w:r>
      <w:r>
        <w:rPr>
          <w:color w:val="000000"/>
          <w:sz w:val="21"/>
          <w:lang w:eastAsia="zh-CN"/>
        </w:rPr>
        <w:t>10 mg/kg 博来霉素，每周2次，共8次。</w:t>
      </w:r>
    </w:p>
    <w:bookmarkEnd w:id="11"/>
    <w:p w14:paraId="2C548A49">
      <w:pPr>
        <w:spacing w:line="360" w:lineRule="auto"/>
        <w:jc w:val="both"/>
        <w:rPr>
          <w:rFonts w:ascii="黑体" w:hAnsi="黑体" w:eastAsia="黑体" w:cs="黑体"/>
          <w:color w:val="000000"/>
          <w:sz w:val="21"/>
          <w:lang w:eastAsia="zh-CN"/>
        </w:rPr>
      </w:pPr>
      <w:bookmarkStart w:id="13" w:name="_Hlk152929134"/>
      <w:r>
        <w:rPr>
          <w:rFonts w:ascii="黑体" w:hAnsi="黑体" w:eastAsia="黑体" w:cs="黑体"/>
          <w:color w:val="000000"/>
          <w:sz w:val="21"/>
          <w:lang w:eastAsia="zh-CN"/>
        </w:rPr>
        <w:t xml:space="preserve">5.4 </w:t>
      </w:r>
      <w:r>
        <w:rPr>
          <w:rFonts w:hint="eastAsia" w:ascii="黑体" w:hAnsi="黑体" w:eastAsia="黑体" w:cs="黑体"/>
          <w:color w:val="000000"/>
          <w:sz w:val="21"/>
          <w:lang w:eastAsia="zh-CN"/>
        </w:rPr>
        <w:t>实验周期</w:t>
      </w:r>
    </w:p>
    <w:p w14:paraId="541B28C4">
      <w:pPr>
        <w:spacing w:line="360" w:lineRule="auto"/>
        <w:ind w:firstLine="420" w:firstLineChars="200"/>
        <w:jc w:val="both"/>
        <w:rPr>
          <w:color w:val="000000"/>
          <w:sz w:val="21"/>
          <w:lang w:eastAsia="zh-CN"/>
        </w:rPr>
      </w:pPr>
      <w:r>
        <w:rPr>
          <w:rFonts w:hint="eastAsia"/>
          <w:color w:val="000000"/>
          <w:sz w:val="21"/>
          <w:lang w:eastAsia="zh-CN"/>
        </w:rPr>
        <w:t>实验周期28天，急性炎症反应会持续7天左右，然后炎症反应减轻，肺脏纤维化逐渐加重，14天时可出现明显肺纤维化，21至28天纤维化反应加强至最重。</w:t>
      </w:r>
    </w:p>
    <w:bookmarkEnd w:id="13"/>
    <w:p w14:paraId="29B8F7A3">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6</w:t>
      </w:r>
      <w:bookmarkStart w:id="14" w:name="_Hlk117695745"/>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指标观察</w:t>
      </w:r>
    </w:p>
    <w:bookmarkEnd w:id="14"/>
    <w:p w14:paraId="4CD30F23">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 xml:space="preserve">6.1 </w:t>
      </w:r>
      <w:r>
        <w:rPr>
          <w:rFonts w:hint="eastAsia" w:ascii="黑体" w:hAnsi="黑体" w:eastAsia="黑体" w:cs="黑体"/>
          <w:color w:val="000000"/>
          <w:sz w:val="21"/>
          <w:lang w:eastAsia="zh-CN"/>
        </w:rPr>
        <w:t>一般症状况观察</w:t>
      </w:r>
    </w:p>
    <w:p w14:paraId="7BACD232">
      <w:pPr>
        <w:pStyle w:val="63"/>
        <w:spacing w:line="360" w:lineRule="auto"/>
        <w:ind w:firstLine="420"/>
      </w:pPr>
      <w:r>
        <w:rPr>
          <w:rFonts w:hint="eastAsia"/>
        </w:rPr>
        <w:t>采用笼旁观察，每天</w:t>
      </w:r>
      <w:r>
        <w:rPr>
          <w:rFonts w:ascii="Times New Roman"/>
        </w:rPr>
        <w:t>1</w:t>
      </w:r>
      <w:r>
        <w:rPr>
          <w:rFonts w:hint="eastAsia"/>
        </w:rPr>
        <w:t>次；观察内容包括皮毛光泽度、活动情况、反应灵敏度、精神状况、呼吸状况、死亡情况等。</w:t>
      </w:r>
    </w:p>
    <w:p w14:paraId="00F640EF">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 xml:space="preserve">6.2 </w:t>
      </w:r>
      <w:r>
        <w:rPr>
          <w:rFonts w:hint="eastAsia" w:ascii="黑体" w:hAnsi="黑体" w:eastAsia="黑体" w:cs="黑体"/>
          <w:color w:val="000000"/>
          <w:sz w:val="21"/>
          <w:lang w:eastAsia="zh-CN"/>
        </w:rPr>
        <w:t>体重</w:t>
      </w:r>
    </w:p>
    <w:p w14:paraId="01DDA5E9">
      <w:pPr>
        <w:adjustRightInd w:val="0"/>
        <w:snapToGrid w:val="0"/>
        <w:spacing w:line="360" w:lineRule="auto"/>
        <w:ind w:firstLine="420" w:firstLineChars="200"/>
        <w:jc w:val="both"/>
        <w:rPr>
          <w:color w:val="000000"/>
          <w:sz w:val="21"/>
          <w:lang w:eastAsia="zh-CN"/>
        </w:rPr>
      </w:pPr>
      <w:r>
        <w:rPr>
          <w:rFonts w:hint="eastAsia"/>
          <w:color w:val="000000"/>
          <w:sz w:val="21"/>
          <w:lang w:eastAsia="zh-CN"/>
        </w:rPr>
        <w:t>实验期间可每4或7天称量动物体重</w:t>
      </w:r>
      <w:r>
        <w:rPr>
          <w:color w:val="000000"/>
          <w:sz w:val="21"/>
          <w:lang w:eastAsia="zh-CN"/>
        </w:rPr>
        <w:t>。</w:t>
      </w:r>
    </w:p>
    <w:p w14:paraId="24B039A3">
      <w:pPr>
        <w:spacing w:line="360" w:lineRule="auto"/>
        <w:jc w:val="both"/>
        <w:rPr>
          <w:rFonts w:ascii="黑体" w:hAnsi="黑体" w:eastAsia="黑体" w:cs="黑体"/>
          <w:color w:val="000000"/>
          <w:sz w:val="21"/>
          <w:lang w:eastAsia="zh-CN"/>
        </w:rPr>
      </w:pPr>
      <w:r>
        <w:rPr>
          <w:rFonts w:hint="eastAsia" w:ascii="黑体" w:hAnsi="黑体" w:eastAsia="黑体" w:cs="黑体"/>
          <w:color w:val="000000"/>
          <w:sz w:val="21"/>
          <w:lang w:eastAsia="zh-CN"/>
        </w:rPr>
        <w:t>6</w:t>
      </w:r>
      <w:r>
        <w:rPr>
          <w:rFonts w:ascii="黑体" w:hAnsi="黑体" w:eastAsia="黑体" w:cs="黑体"/>
          <w:color w:val="000000"/>
          <w:sz w:val="21"/>
          <w:lang w:eastAsia="zh-CN"/>
        </w:rPr>
        <w:t xml:space="preserve">.3 </w:t>
      </w:r>
      <w:r>
        <w:rPr>
          <w:rFonts w:hint="eastAsia" w:ascii="黑体" w:hAnsi="黑体" w:eastAsia="黑体" w:cs="黑体"/>
          <w:color w:val="000000"/>
          <w:sz w:val="21"/>
          <w:lang w:eastAsia="zh-CN"/>
        </w:rPr>
        <w:t>胸部C</w:t>
      </w:r>
      <w:r>
        <w:rPr>
          <w:rFonts w:ascii="黑体" w:hAnsi="黑体" w:eastAsia="黑体" w:cs="黑体"/>
          <w:color w:val="000000"/>
          <w:sz w:val="21"/>
          <w:lang w:eastAsia="zh-CN"/>
        </w:rPr>
        <w:t>T</w:t>
      </w:r>
    </w:p>
    <w:p w14:paraId="1E5A08E0">
      <w:pPr>
        <w:spacing w:line="360" w:lineRule="auto"/>
        <w:ind w:firstLine="420" w:firstLineChars="200"/>
        <w:jc w:val="both"/>
        <w:rPr>
          <w:rFonts w:ascii="宋体" w:hAnsi="宋体"/>
          <w:color w:val="000000"/>
          <w:sz w:val="21"/>
          <w:lang w:eastAsia="zh-CN"/>
        </w:rPr>
      </w:pPr>
      <w:r>
        <w:rPr>
          <w:rFonts w:hint="eastAsia"/>
          <w:color w:val="000000"/>
          <w:sz w:val="21"/>
          <w:lang w:eastAsia="zh-CN"/>
        </w:rPr>
        <w:t>可采用小动物C</w:t>
      </w:r>
      <w:r>
        <w:rPr>
          <w:color w:val="000000"/>
          <w:sz w:val="21"/>
          <w:lang w:eastAsia="zh-CN"/>
        </w:rPr>
        <w:t>T</w:t>
      </w:r>
      <w:r>
        <w:rPr>
          <w:rFonts w:hint="eastAsia"/>
          <w:color w:val="000000"/>
          <w:sz w:val="21"/>
          <w:lang w:eastAsia="zh-CN"/>
        </w:rPr>
        <w:t>扫描，通过肺部C</w:t>
      </w:r>
      <w:r>
        <w:rPr>
          <w:color w:val="000000"/>
          <w:sz w:val="21"/>
          <w:lang w:eastAsia="zh-CN"/>
        </w:rPr>
        <w:t>T</w:t>
      </w:r>
      <w:r>
        <w:rPr>
          <w:rFonts w:hint="eastAsia"/>
          <w:color w:val="000000"/>
          <w:sz w:val="21"/>
          <w:lang w:eastAsia="zh-CN"/>
        </w:rPr>
        <w:t>影像学变化，动态观察小动物肺组织肺纤维化情况。</w:t>
      </w:r>
    </w:p>
    <w:p w14:paraId="2B5CDAB7">
      <w:pPr>
        <w:spacing w:line="360" w:lineRule="auto"/>
        <w:jc w:val="both"/>
        <w:rPr>
          <w:rFonts w:ascii="黑体" w:hAnsi="黑体" w:eastAsia="黑体" w:cs="黑体"/>
          <w:color w:val="000000"/>
          <w:sz w:val="21"/>
          <w:lang w:eastAsia="zh-CN"/>
        </w:rPr>
      </w:pPr>
      <w:bookmarkStart w:id="15" w:name="_Hlk117671029"/>
      <w:r>
        <w:rPr>
          <w:rFonts w:ascii="黑体" w:hAnsi="黑体" w:eastAsia="黑体" w:cs="黑体"/>
          <w:color w:val="000000"/>
          <w:sz w:val="21"/>
          <w:lang w:eastAsia="zh-CN"/>
        </w:rPr>
        <w:t xml:space="preserve">6.4 </w:t>
      </w:r>
      <w:r>
        <w:rPr>
          <w:rFonts w:hint="eastAsia" w:ascii="黑体" w:hAnsi="黑体" w:eastAsia="黑体" w:cs="黑体"/>
          <w:color w:val="000000"/>
          <w:sz w:val="21"/>
          <w:lang w:eastAsia="zh-CN"/>
        </w:rPr>
        <w:t>肺功能测定</w:t>
      </w:r>
    </w:p>
    <w:p w14:paraId="6F48D4D3">
      <w:pPr>
        <w:spacing w:line="360" w:lineRule="auto"/>
        <w:ind w:firstLine="420" w:firstLineChars="200"/>
        <w:jc w:val="both"/>
        <w:rPr>
          <w:color w:val="000000"/>
          <w:sz w:val="21"/>
          <w:lang w:eastAsia="zh-CN"/>
        </w:rPr>
      </w:pPr>
      <w:r>
        <w:rPr>
          <w:rFonts w:hint="eastAsia"/>
          <w:color w:val="000000"/>
          <w:sz w:val="21"/>
          <w:lang w:eastAsia="zh-CN"/>
        </w:rPr>
        <w:t>根据实验条件和需求可进行有创和无创肺功能检测。无创检测可在动物清醒状况下进行，在</w:t>
      </w:r>
      <w:r>
        <w:rPr>
          <w:color w:val="000000"/>
          <w:sz w:val="21"/>
          <w:lang w:eastAsia="zh-CN"/>
        </w:rPr>
        <w:t>正常生理状态下</w:t>
      </w:r>
      <w:r>
        <w:rPr>
          <w:rFonts w:hint="eastAsia"/>
          <w:color w:val="000000"/>
          <w:sz w:val="21"/>
          <w:lang w:eastAsia="zh-CN"/>
        </w:rPr>
        <w:t>监测动物</w:t>
      </w:r>
      <w:r>
        <w:rPr>
          <w:color w:val="000000"/>
          <w:sz w:val="21"/>
          <w:lang w:eastAsia="zh-CN"/>
        </w:rPr>
        <w:t>肺功能</w:t>
      </w:r>
      <w:r>
        <w:rPr>
          <w:rFonts w:hint="eastAsia"/>
          <w:color w:val="000000"/>
          <w:sz w:val="21"/>
          <w:lang w:eastAsia="zh-CN"/>
        </w:rPr>
        <w:t>，并在实验期间可多次进行测定。</w:t>
      </w:r>
      <w:r>
        <w:rPr>
          <w:color w:val="000000"/>
          <w:sz w:val="21"/>
          <w:lang w:eastAsia="zh-CN"/>
        </w:rPr>
        <w:t>有创肺功能测定指在麻醉状态下行气管插管</w:t>
      </w:r>
      <w:r>
        <w:rPr>
          <w:rFonts w:hint="eastAsia"/>
          <w:color w:val="000000"/>
          <w:sz w:val="21"/>
          <w:lang w:eastAsia="zh-CN"/>
        </w:rPr>
        <w:t>，通过</w:t>
      </w:r>
      <w:r>
        <w:rPr>
          <w:color w:val="000000"/>
          <w:sz w:val="21"/>
          <w:lang w:eastAsia="zh-CN"/>
        </w:rPr>
        <w:t>肺功能仪记录动物被动呼吸的气道阻力、肺顺应性及弹性，可直接观察用药前后肺功能</w:t>
      </w:r>
      <w:r>
        <w:rPr>
          <w:rFonts w:hint="eastAsia"/>
          <w:color w:val="000000"/>
          <w:sz w:val="21"/>
          <w:lang w:eastAsia="zh-CN"/>
        </w:rPr>
        <w:t>的</w:t>
      </w:r>
      <w:r>
        <w:rPr>
          <w:color w:val="000000"/>
          <w:sz w:val="21"/>
          <w:lang w:eastAsia="zh-CN"/>
        </w:rPr>
        <w:t>改变，由于</w:t>
      </w:r>
      <w:r>
        <w:rPr>
          <w:rFonts w:hint="eastAsia"/>
          <w:color w:val="000000"/>
          <w:sz w:val="21"/>
          <w:lang w:eastAsia="zh-CN"/>
        </w:rPr>
        <w:t>动物处于</w:t>
      </w:r>
      <w:r>
        <w:rPr>
          <w:color w:val="000000"/>
          <w:sz w:val="21"/>
          <w:lang w:eastAsia="zh-CN"/>
        </w:rPr>
        <w:t>非正常生理状态</w:t>
      </w:r>
      <w:r>
        <w:rPr>
          <w:rFonts w:hint="eastAsia"/>
          <w:color w:val="000000"/>
          <w:sz w:val="21"/>
          <w:lang w:eastAsia="zh-CN"/>
        </w:rPr>
        <w:t>且检测方法有创</w:t>
      </w:r>
      <w:r>
        <w:rPr>
          <w:color w:val="000000"/>
          <w:sz w:val="21"/>
          <w:lang w:eastAsia="zh-CN"/>
        </w:rPr>
        <w:t>，</w:t>
      </w:r>
      <w:r>
        <w:rPr>
          <w:rFonts w:hint="eastAsia"/>
          <w:color w:val="000000"/>
          <w:sz w:val="21"/>
          <w:lang w:eastAsia="zh-CN"/>
        </w:rPr>
        <w:t>该方法多用于末次肺功能检测</w:t>
      </w:r>
      <w:r>
        <w:rPr>
          <w:color w:val="000000"/>
          <w:sz w:val="21"/>
          <w:lang w:eastAsia="zh-CN"/>
        </w:rPr>
        <w:t>。</w:t>
      </w:r>
      <w:r>
        <w:rPr>
          <w:rFonts w:hint="eastAsia"/>
          <w:color w:val="000000"/>
          <w:sz w:val="21"/>
          <w:lang w:eastAsia="zh-CN"/>
        </w:rPr>
        <w:t>肺功能主要的观察指标包括：</w:t>
      </w:r>
      <w:r>
        <w:rPr>
          <w:color w:val="000000"/>
          <w:sz w:val="21"/>
          <w:lang w:eastAsia="zh-CN"/>
        </w:rPr>
        <w:t>TV</w:t>
      </w:r>
      <w:r>
        <w:rPr>
          <w:rFonts w:hint="eastAsia"/>
          <w:color w:val="000000"/>
          <w:sz w:val="21"/>
          <w:lang w:eastAsia="zh-CN"/>
        </w:rPr>
        <w:t>（</w:t>
      </w:r>
      <w:r>
        <w:rPr>
          <w:color w:val="000000"/>
          <w:sz w:val="21"/>
          <w:lang w:eastAsia="zh-CN"/>
        </w:rPr>
        <w:t>潮气量</w:t>
      </w:r>
      <w:r>
        <w:rPr>
          <w:rFonts w:hint="eastAsia"/>
          <w:color w:val="000000"/>
          <w:sz w:val="21"/>
          <w:lang w:eastAsia="zh-CN"/>
        </w:rPr>
        <w:t>）、RI（气道阻力）与Cdyn（动态肺顺应性）。根据需要在造模给药后的7、1</w:t>
      </w:r>
      <w:r>
        <w:rPr>
          <w:color w:val="000000"/>
          <w:sz w:val="21"/>
          <w:lang w:eastAsia="zh-CN"/>
        </w:rPr>
        <w:t>4</w:t>
      </w:r>
      <w:r>
        <w:rPr>
          <w:rFonts w:hint="eastAsia"/>
          <w:color w:val="000000"/>
          <w:sz w:val="21"/>
          <w:lang w:eastAsia="zh-CN"/>
        </w:rPr>
        <w:t>和2</w:t>
      </w:r>
      <w:r>
        <w:rPr>
          <w:color w:val="000000"/>
          <w:sz w:val="21"/>
          <w:lang w:eastAsia="zh-CN"/>
        </w:rPr>
        <w:t>8</w:t>
      </w:r>
      <w:r>
        <w:rPr>
          <w:rFonts w:hint="eastAsia"/>
          <w:color w:val="000000"/>
          <w:sz w:val="21"/>
          <w:lang w:eastAsia="zh-CN"/>
        </w:rPr>
        <w:t>天进行。</w:t>
      </w:r>
    </w:p>
    <w:p w14:paraId="36E5557F">
      <w:pPr>
        <w:spacing w:line="360" w:lineRule="auto"/>
        <w:jc w:val="both"/>
        <w:rPr>
          <w:rFonts w:ascii="黑体" w:hAnsi="黑体" w:eastAsia="黑体" w:cs="黑体"/>
          <w:color w:val="000000"/>
          <w:sz w:val="21"/>
          <w:lang w:eastAsia="zh-CN"/>
        </w:rPr>
      </w:pPr>
      <w:r>
        <w:rPr>
          <w:rFonts w:hint="eastAsia" w:ascii="黑体" w:hAnsi="黑体" w:eastAsia="黑体" w:cs="黑体"/>
          <w:color w:val="000000"/>
          <w:sz w:val="21"/>
          <w:lang w:eastAsia="zh-CN"/>
        </w:rPr>
        <w:t>6</w:t>
      </w:r>
      <w:r>
        <w:rPr>
          <w:rFonts w:ascii="黑体" w:hAnsi="黑体" w:eastAsia="黑体" w:cs="黑体"/>
          <w:color w:val="000000"/>
          <w:sz w:val="21"/>
          <w:lang w:eastAsia="zh-CN"/>
        </w:rPr>
        <w:t xml:space="preserve">.5 </w:t>
      </w:r>
      <w:bookmarkStart w:id="16" w:name="_Hlk152958311"/>
      <w:r>
        <w:rPr>
          <w:rFonts w:hint="eastAsia" w:ascii="黑体" w:hAnsi="黑体" w:eastAsia="黑体" w:cs="黑体"/>
          <w:color w:val="000000"/>
          <w:sz w:val="21"/>
          <w:lang w:eastAsia="zh-CN"/>
        </w:rPr>
        <w:t>血气分析检测</w:t>
      </w:r>
    </w:p>
    <w:bookmarkEnd w:id="16"/>
    <w:p w14:paraId="000973C3">
      <w:pPr>
        <w:spacing w:line="360" w:lineRule="auto"/>
        <w:ind w:firstLine="420" w:firstLineChars="200"/>
        <w:jc w:val="both"/>
        <w:rPr>
          <w:color w:val="000000"/>
          <w:sz w:val="21"/>
          <w:lang w:eastAsia="zh-CN"/>
        </w:rPr>
      </w:pPr>
      <w:r>
        <w:rPr>
          <w:rFonts w:hint="eastAsia" w:ascii="宋体" w:hAnsi="宋体"/>
          <w:color w:val="000000"/>
          <w:sz w:val="21"/>
          <w:lang w:eastAsia="zh-CN"/>
        </w:rPr>
        <w:t>应用血气分析仪进行动脉血</w:t>
      </w:r>
      <w:r>
        <w:rPr>
          <w:rFonts w:hint="eastAsia"/>
          <w:color w:val="000000"/>
          <w:sz w:val="21"/>
          <w:lang w:eastAsia="zh-CN"/>
        </w:rPr>
        <w:t>PO</w:t>
      </w:r>
      <w:r>
        <w:rPr>
          <w:rFonts w:hint="eastAsia"/>
          <w:color w:val="000000"/>
          <w:sz w:val="21"/>
          <w:vertAlign w:val="subscript"/>
          <w:lang w:eastAsia="zh-CN"/>
        </w:rPr>
        <w:t>2</w:t>
      </w:r>
      <w:r>
        <w:rPr>
          <w:rFonts w:hint="eastAsia"/>
          <w:color w:val="000000"/>
          <w:sz w:val="21"/>
          <w:lang w:eastAsia="zh-CN"/>
        </w:rPr>
        <w:t>（氧气分压）、PCO</w:t>
      </w:r>
      <w:r>
        <w:rPr>
          <w:rFonts w:hint="eastAsia"/>
          <w:color w:val="000000"/>
          <w:sz w:val="21"/>
          <w:vertAlign w:val="subscript"/>
          <w:lang w:eastAsia="zh-CN"/>
        </w:rPr>
        <w:t>2</w:t>
      </w:r>
      <w:r>
        <w:rPr>
          <w:rFonts w:hint="eastAsia"/>
          <w:color w:val="000000"/>
          <w:sz w:val="21"/>
          <w:lang w:eastAsia="zh-CN"/>
        </w:rPr>
        <w:t>（二氧化碳分压）、</w:t>
      </w:r>
      <w:r>
        <w:rPr>
          <w:color w:val="000000"/>
          <w:sz w:val="21"/>
          <w:lang w:eastAsia="zh-CN"/>
        </w:rPr>
        <w:t>SaO</w:t>
      </w:r>
      <w:r>
        <w:rPr>
          <w:color w:val="000000"/>
          <w:sz w:val="21"/>
          <w:vertAlign w:val="subscript"/>
          <w:lang w:eastAsia="zh-CN"/>
        </w:rPr>
        <w:t>2</w:t>
      </w:r>
      <w:r>
        <w:rPr>
          <w:rFonts w:hint="eastAsia"/>
          <w:color w:val="000000"/>
          <w:sz w:val="21"/>
          <w:lang w:eastAsia="zh-CN"/>
        </w:rPr>
        <w:t>（血氧饱和度）</w:t>
      </w:r>
      <w:r>
        <w:rPr>
          <w:rFonts w:hint="eastAsia" w:ascii="宋体" w:hAnsi="宋体"/>
          <w:color w:val="000000"/>
          <w:sz w:val="21"/>
          <w:lang w:eastAsia="zh-CN"/>
        </w:rPr>
        <w:t>的检测。</w:t>
      </w:r>
      <w:r>
        <w:rPr>
          <w:rFonts w:hint="eastAsia"/>
          <w:color w:val="000000"/>
          <w:sz w:val="21"/>
          <w:lang w:eastAsia="zh-CN"/>
        </w:rPr>
        <w:t>根据需要在造模给药后的7、1</w:t>
      </w:r>
      <w:r>
        <w:rPr>
          <w:color w:val="000000"/>
          <w:sz w:val="21"/>
          <w:lang w:eastAsia="zh-CN"/>
        </w:rPr>
        <w:t>4</w:t>
      </w:r>
      <w:r>
        <w:rPr>
          <w:rFonts w:hint="eastAsia"/>
          <w:color w:val="000000"/>
          <w:sz w:val="21"/>
          <w:lang w:eastAsia="zh-CN"/>
        </w:rPr>
        <w:t>和2</w:t>
      </w:r>
      <w:r>
        <w:rPr>
          <w:color w:val="000000"/>
          <w:sz w:val="21"/>
          <w:lang w:eastAsia="zh-CN"/>
        </w:rPr>
        <w:t>8</w:t>
      </w:r>
      <w:r>
        <w:rPr>
          <w:rFonts w:hint="eastAsia"/>
          <w:color w:val="000000"/>
          <w:sz w:val="21"/>
          <w:lang w:eastAsia="zh-CN"/>
        </w:rPr>
        <w:t>天进行。</w:t>
      </w:r>
    </w:p>
    <w:p w14:paraId="0A890635">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 xml:space="preserve">6.6 </w:t>
      </w:r>
      <w:r>
        <w:rPr>
          <w:rFonts w:hint="eastAsia" w:ascii="黑体" w:hAnsi="黑体" w:eastAsia="黑体" w:cs="黑体"/>
          <w:color w:val="000000"/>
          <w:sz w:val="21"/>
          <w:lang w:eastAsia="zh-CN"/>
        </w:rPr>
        <w:t>肺系数测定</w:t>
      </w:r>
    </w:p>
    <w:p w14:paraId="1222D2D5">
      <w:pPr>
        <w:pStyle w:val="63"/>
        <w:ind w:firstLine="420"/>
        <w:rPr>
          <w:rFonts w:ascii="Times New Roman"/>
          <w:color w:val="000000"/>
        </w:rPr>
      </w:pPr>
      <w:r>
        <w:rPr>
          <w:rFonts w:hint="eastAsia" w:ascii="Times New Roman"/>
          <w:color w:val="000000"/>
        </w:rPr>
        <w:t>根据需要在造模给药后的7、1</w:t>
      </w:r>
      <w:r>
        <w:rPr>
          <w:rFonts w:ascii="Times New Roman"/>
          <w:color w:val="000000"/>
        </w:rPr>
        <w:t>4</w:t>
      </w:r>
      <w:r>
        <w:rPr>
          <w:rFonts w:hint="eastAsia" w:ascii="Times New Roman"/>
          <w:color w:val="000000"/>
        </w:rPr>
        <w:t>和2</w:t>
      </w:r>
      <w:r>
        <w:rPr>
          <w:rFonts w:ascii="Times New Roman"/>
          <w:color w:val="000000"/>
        </w:rPr>
        <w:t>8</w:t>
      </w:r>
      <w:r>
        <w:rPr>
          <w:rFonts w:hint="eastAsia" w:ascii="Times New Roman"/>
          <w:color w:val="000000"/>
        </w:rPr>
        <w:t>天</w:t>
      </w:r>
      <w:r>
        <w:rPr>
          <w:rFonts w:hint="eastAsia" w:ascii="Times New Roman"/>
          <w:kern w:val="2"/>
        </w:rPr>
        <w:t>测定动物肺系数。</w:t>
      </w:r>
      <w:r>
        <w:rPr>
          <w:rFonts w:hint="eastAsia" w:ascii="Times New Roman"/>
          <w:color w:val="000000"/>
        </w:rPr>
        <w:t xml:space="preserve"> </w:t>
      </w:r>
    </w:p>
    <w:p w14:paraId="30391A56">
      <w:pPr>
        <w:spacing w:line="360" w:lineRule="auto"/>
        <w:jc w:val="both"/>
        <w:rPr>
          <w:rFonts w:ascii="黑体" w:hAnsi="黑体" w:eastAsia="黑体" w:cs="黑体"/>
          <w:color w:val="000000"/>
          <w:sz w:val="21"/>
          <w:lang w:eastAsia="zh-CN"/>
        </w:rPr>
      </w:pPr>
      <w:r>
        <w:rPr>
          <w:rFonts w:ascii="黑体" w:hAnsi="黑体" w:eastAsia="黑体" w:cs="黑体"/>
          <w:color w:val="000000"/>
          <w:sz w:val="21"/>
          <w:lang w:eastAsia="zh-CN"/>
        </w:rPr>
        <w:t xml:space="preserve">6.7 </w:t>
      </w:r>
      <w:r>
        <w:rPr>
          <w:rFonts w:hint="eastAsia" w:ascii="黑体" w:hAnsi="黑体" w:eastAsia="黑体" w:cs="黑体"/>
          <w:color w:val="000000"/>
          <w:sz w:val="21"/>
          <w:lang w:eastAsia="zh-CN"/>
        </w:rPr>
        <w:t>肺组织病理形态学</w:t>
      </w:r>
    </w:p>
    <w:p w14:paraId="6C5CFF05">
      <w:pPr>
        <w:pStyle w:val="63"/>
        <w:spacing w:line="360" w:lineRule="auto"/>
        <w:ind w:firstLine="420"/>
        <w:rPr>
          <w:rFonts w:ascii="Times New Roman"/>
        </w:rPr>
      </w:pPr>
      <w:r>
        <w:rPr>
          <w:rFonts w:hint="eastAsia" w:ascii="Times New Roman"/>
        </w:rPr>
        <w:t>肺组织</w:t>
      </w:r>
      <w:r>
        <w:rPr>
          <w:rFonts w:hint="eastAsia" w:ascii="Times New Roman"/>
          <w:color w:val="000000"/>
          <w:szCs w:val="21"/>
        </w:rPr>
        <w:t>制片</w:t>
      </w:r>
      <w:r>
        <w:rPr>
          <w:rFonts w:hint="eastAsia" w:ascii="Times New Roman"/>
          <w:color w:val="000000"/>
        </w:rPr>
        <w:t>HE染色与Masson染色，</w:t>
      </w:r>
      <w:r>
        <w:rPr>
          <w:rFonts w:hint="eastAsia" w:ascii="Times New Roman"/>
          <w:color w:val="000000"/>
          <w:szCs w:val="21"/>
        </w:rPr>
        <w:t>通过大体观察、光镜观察组织病理变化。</w:t>
      </w:r>
      <w:r>
        <w:rPr>
          <w:rFonts w:hint="eastAsia" w:ascii="Times New Roman"/>
          <w:color w:val="000000"/>
        </w:rPr>
        <w:t>根据需要在造模给药后的7、1</w:t>
      </w:r>
      <w:r>
        <w:rPr>
          <w:rFonts w:ascii="Times New Roman"/>
          <w:color w:val="000000"/>
        </w:rPr>
        <w:t>4</w:t>
      </w:r>
      <w:r>
        <w:rPr>
          <w:rFonts w:hint="eastAsia" w:ascii="Times New Roman"/>
          <w:color w:val="000000"/>
        </w:rPr>
        <w:t>和2</w:t>
      </w:r>
      <w:r>
        <w:rPr>
          <w:rFonts w:ascii="Times New Roman"/>
          <w:color w:val="000000"/>
        </w:rPr>
        <w:t>8</w:t>
      </w:r>
      <w:r>
        <w:rPr>
          <w:rFonts w:hint="eastAsia" w:ascii="Times New Roman"/>
          <w:color w:val="000000"/>
        </w:rPr>
        <w:t>天进行。</w:t>
      </w:r>
    </w:p>
    <w:p w14:paraId="101D047A">
      <w:pPr>
        <w:spacing w:line="360" w:lineRule="auto"/>
        <w:jc w:val="both"/>
        <w:rPr>
          <w:rFonts w:ascii="黑体" w:hAnsi="黑体" w:eastAsia="黑体" w:cs="黑体"/>
          <w:color w:val="000000"/>
          <w:sz w:val="21"/>
          <w:lang w:eastAsia="zh-CN"/>
        </w:rPr>
      </w:pPr>
      <w:r>
        <w:rPr>
          <w:rFonts w:hint="eastAsia" w:ascii="黑体" w:hAnsi="黑体" w:eastAsia="黑体" w:cs="黑体"/>
          <w:color w:val="000000"/>
          <w:sz w:val="21"/>
          <w:lang w:eastAsia="zh-CN"/>
        </w:rPr>
        <w:t>6</w:t>
      </w:r>
      <w:r>
        <w:rPr>
          <w:rFonts w:ascii="黑体" w:hAnsi="黑体" w:eastAsia="黑体" w:cs="黑体"/>
          <w:color w:val="000000"/>
          <w:sz w:val="21"/>
          <w:lang w:eastAsia="zh-CN"/>
        </w:rPr>
        <w:t xml:space="preserve">.8 </w:t>
      </w:r>
      <w:r>
        <w:rPr>
          <w:rFonts w:hint="eastAsia" w:ascii="黑体" w:hAnsi="黑体" w:eastAsia="黑体" w:cs="黑体"/>
          <w:color w:val="000000"/>
          <w:sz w:val="21"/>
          <w:lang w:eastAsia="zh-CN"/>
        </w:rPr>
        <w:t>肺纤维化相关的因子、蛋白等检测</w:t>
      </w:r>
    </w:p>
    <w:p w14:paraId="7DFDB187">
      <w:pPr>
        <w:pStyle w:val="63"/>
        <w:spacing w:line="360" w:lineRule="auto"/>
        <w:ind w:firstLine="420"/>
        <w:rPr>
          <w:rFonts w:ascii="Times New Roman"/>
        </w:rPr>
      </w:pPr>
      <w:r>
        <w:rPr>
          <w:rFonts w:hint="eastAsia" w:ascii="Times New Roman"/>
        </w:rPr>
        <w:t>根据实验需要对肺泡灌洗液（</w:t>
      </w:r>
      <w:r>
        <w:rPr>
          <w:rFonts w:ascii="Times New Roman"/>
        </w:rPr>
        <w:t>BALF</w:t>
      </w:r>
      <w:r>
        <w:rPr>
          <w:rFonts w:hint="eastAsia" w:ascii="Times New Roman"/>
        </w:rPr>
        <w:t>）、血清、肺组织采用聚合酶链式反应（PCR）、免疫组化、免疫荧光、酶联免疫吸附法（ELISA）、蛋白质免疫印迹实验（Western Blot）等检测方法对相关因子、蛋白进行检测。</w:t>
      </w:r>
      <w:r>
        <w:rPr>
          <w:rFonts w:hint="eastAsia" w:ascii="Times New Roman"/>
          <w:color w:val="000000"/>
        </w:rPr>
        <w:t>根据需要在造模给药后的7、1</w:t>
      </w:r>
      <w:r>
        <w:rPr>
          <w:rFonts w:ascii="Times New Roman"/>
          <w:color w:val="000000"/>
        </w:rPr>
        <w:t>4</w:t>
      </w:r>
      <w:r>
        <w:rPr>
          <w:rFonts w:hint="eastAsia" w:ascii="Times New Roman"/>
          <w:color w:val="000000"/>
        </w:rPr>
        <w:t>和2</w:t>
      </w:r>
      <w:r>
        <w:rPr>
          <w:rFonts w:ascii="Times New Roman"/>
          <w:color w:val="000000"/>
        </w:rPr>
        <w:t>8</w:t>
      </w:r>
      <w:r>
        <w:rPr>
          <w:rFonts w:hint="eastAsia" w:ascii="Times New Roman"/>
          <w:color w:val="000000"/>
        </w:rPr>
        <w:t>天进行。</w:t>
      </w:r>
    </w:p>
    <w:p w14:paraId="144FE693">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6.8.1</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相关蛋白</w:t>
      </w:r>
    </w:p>
    <w:p w14:paraId="5AA2953C">
      <w:pPr>
        <w:pStyle w:val="63"/>
        <w:spacing w:line="360" w:lineRule="auto"/>
        <w:ind w:firstLine="420"/>
        <w:rPr>
          <w:rFonts w:hint="default" w:ascii="Times New Roman" w:hAnsi="Times New Roman" w:eastAsia="宋体" w:cs="Times New Roman"/>
        </w:rPr>
      </w:pPr>
      <w:r>
        <w:rPr>
          <w:rFonts w:hint="default" w:ascii="Times New Roman" w:hAnsi="Times New Roman" w:eastAsia="宋体" w:cs="Times New Roman"/>
        </w:rPr>
        <w:t>肺组织中羟脯氨酸（Hyp）、肺组织中I型胶原（Col-I）、纤维粘连蛋白（FN）、平滑肌肌动蛋白（α-SMA）和波形蛋白（Vimentin）等。</w:t>
      </w:r>
    </w:p>
    <w:p w14:paraId="5A21AA55">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6.8.2</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生长因子</w:t>
      </w:r>
    </w:p>
    <w:p w14:paraId="4507FEC0">
      <w:pPr>
        <w:pStyle w:val="63"/>
        <w:spacing w:line="360" w:lineRule="auto"/>
        <w:ind w:firstLine="420"/>
        <w:rPr>
          <w:rFonts w:hint="default" w:ascii="Times New Roman" w:hAnsi="Times New Roman" w:eastAsia="宋体" w:cs="Times New Roman"/>
        </w:rPr>
      </w:pPr>
      <w:r>
        <w:rPr>
          <w:rFonts w:hint="default" w:ascii="Times New Roman" w:hAnsi="Times New Roman" w:eastAsia="宋体" w:cs="Times New Roman"/>
        </w:rPr>
        <w:t>肺组织转化生长因子-β（TGF-β）、血小板衍生生长因子（PDGF）、结缔组织生长因子（CTGF）等。</w:t>
      </w:r>
    </w:p>
    <w:p w14:paraId="61EF8BA3">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6.8.3</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趋化因子</w:t>
      </w:r>
    </w:p>
    <w:p w14:paraId="772512F4">
      <w:pPr>
        <w:spacing w:line="360" w:lineRule="auto"/>
        <w:ind w:firstLine="420" w:firstLineChars="200"/>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趋化因子4（CXC4）、趋化因子2（CCL2）等。</w:t>
      </w:r>
    </w:p>
    <w:p w14:paraId="39E7EB7E">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6.8.4</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炎性因子</w:t>
      </w:r>
    </w:p>
    <w:p w14:paraId="307904B9">
      <w:pPr>
        <w:pStyle w:val="63"/>
        <w:ind w:firstLine="420"/>
        <w:rPr>
          <w:rFonts w:hint="default" w:ascii="Times New Roman" w:hAnsi="Times New Roman" w:eastAsia="宋体" w:cs="Times New Roman"/>
          <w:color w:val="000000"/>
        </w:rPr>
      </w:pPr>
      <w:r>
        <w:rPr>
          <w:rFonts w:hint="default" w:ascii="Times New Roman" w:hAnsi="Times New Roman" w:eastAsia="宋体" w:cs="Times New Roman"/>
          <w:color w:val="000000"/>
        </w:rPr>
        <w:t>肺组织肿瘤坏死因子-α（TNF-α）和白介素-1β（IL-1β）等。</w:t>
      </w:r>
    </w:p>
    <w:p w14:paraId="201E3056">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6.8.5</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蛋白酶</w:t>
      </w:r>
    </w:p>
    <w:p w14:paraId="6F6BCF09">
      <w:pPr>
        <w:pStyle w:val="63"/>
        <w:ind w:firstLine="420"/>
        <w:rPr>
          <w:rFonts w:hint="default" w:ascii="Times New Roman" w:hAnsi="Times New Roman" w:eastAsia="宋体" w:cs="Times New Roman"/>
          <w:color w:val="000000"/>
        </w:rPr>
      </w:pPr>
      <w:r>
        <w:rPr>
          <w:rFonts w:hint="default" w:ascii="Times New Roman" w:hAnsi="Times New Roman" w:eastAsia="宋体" w:cs="Times New Roman"/>
          <w:color w:val="000000"/>
        </w:rPr>
        <w:t>肺组织钙蛋白酶Calpain-1、金属蛋白酶</w:t>
      </w:r>
      <w:r>
        <w:rPr>
          <w:rFonts w:hint="default" w:ascii="Times New Roman" w:hAnsi="Times New Roman" w:eastAsia="宋体" w:cs="Times New Roman"/>
          <w:color w:val="000000"/>
          <w:szCs w:val="24"/>
        </w:rPr>
        <w:t>MMP1、MMP7 、MMP2和MMP9等。</w:t>
      </w:r>
    </w:p>
    <w:p w14:paraId="4F50E367">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6.8.6</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凝血纤溶系统</w:t>
      </w:r>
    </w:p>
    <w:p w14:paraId="4DF9B0CA">
      <w:pPr>
        <w:pStyle w:val="63"/>
        <w:spacing w:line="360" w:lineRule="auto"/>
        <w:ind w:firstLine="420"/>
        <w:rPr>
          <w:rFonts w:hint="default" w:ascii="Times New Roman" w:hAnsi="Times New Roman" w:eastAsia="宋体" w:cs="Times New Roman"/>
          <w:color w:val="000000"/>
        </w:rPr>
      </w:pPr>
      <w:r>
        <w:rPr>
          <w:rFonts w:hint="default" w:ascii="Times New Roman" w:hAnsi="Times New Roman" w:eastAsia="宋体" w:cs="Times New Roman"/>
          <w:color w:val="000000"/>
        </w:rPr>
        <w:t>纤溶酶原激活物抑制物（PAL-1）、纤维蛋白原FIB 、凝血酶时间（TT）、凝血酶原时间、D-二聚体、凝血纤溶因子（血管性血友病因子VWF、蛋白C、TF、FX因子）、组织型纤溶酶原激活物（t-PA）、凝血酶抗凝血酶复合物（TAT）、血栓调节素（TM）、纤维蛋白降解产物（FDP）、尿激酶型纤溶酶原激活剂(u-PA)等。</w:t>
      </w:r>
    </w:p>
    <w:p w14:paraId="62181C5B">
      <w:pPr>
        <w:spacing w:line="360" w:lineRule="auto"/>
        <w:rPr>
          <w:rFonts w:ascii="黑体" w:hAnsi="黑体" w:eastAsia="黑体" w:cs="黑体"/>
          <w:color w:val="000000"/>
          <w:sz w:val="21"/>
          <w:lang w:eastAsia="zh-CN"/>
        </w:rPr>
      </w:pPr>
      <w:bookmarkStart w:id="17" w:name="_Hlk117671302"/>
      <w:r>
        <w:rPr>
          <w:rFonts w:ascii="黑体" w:hAnsi="黑体" w:eastAsia="黑体" w:cs="黑体"/>
          <w:color w:val="000000"/>
          <w:sz w:val="21"/>
          <w:lang w:eastAsia="zh-CN"/>
        </w:rPr>
        <w:t xml:space="preserve">7  </w:t>
      </w:r>
      <w:bookmarkStart w:id="18" w:name="_Hlk117695752"/>
      <w:r>
        <w:rPr>
          <w:rFonts w:hint="eastAsia" w:ascii="黑体" w:hAnsi="黑体" w:eastAsia="黑体" w:cs="黑体"/>
          <w:color w:val="000000"/>
          <w:sz w:val="21"/>
          <w:lang w:eastAsia="zh-CN"/>
        </w:rPr>
        <w:t>判定标准</w:t>
      </w:r>
      <w:bookmarkEnd w:id="18"/>
    </w:p>
    <w:bookmarkEnd w:id="15"/>
    <w:p w14:paraId="6A195C70">
      <w:pPr>
        <w:spacing w:line="360" w:lineRule="auto"/>
        <w:ind w:firstLine="420" w:firstLineChars="200"/>
        <w:jc w:val="both"/>
        <w:rPr>
          <w:color w:val="000000"/>
          <w:sz w:val="21"/>
          <w:lang w:eastAsia="zh-CN"/>
        </w:rPr>
      </w:pPr>
      <w:r>
        <w:rPr>
          <w:rFonts w:hint="eastAsia"/>
          <w:color w:val="000000"/>
          <w:sz w:val="21"/>
          <w:lang w:eastAsia="zh-CN"/>
        </w:rPr>
        <w:t>肺纤维化主要的病理特征是成纤维细胞的形成及大量细胞外基质</w:t>
      </w:r>
      <w:r>
        <w:rPr>
          <w:color w:val="000000"/>
          <w:sz w:val="21"/>
          <w:lang w:eastAsia="zh-CN"/>
        </w:rPr>
        <w:t>(ECM)</w:t>
      </w:r>
      <w:r>
        <w:rPr>
          <w:rFonts w:hint="eastAsia"/>
          <w:color w:val="000000"/>
          <w:sz w:val="21"/>
          <w:lang w:eastAsia="zh-CN"/>
        </w:rPr>
        <w:t>沉积，胶原蛋白集聚导致正常的肺组织结构破坏。</w:t>
      </w:r>
      <w:r>
        <w:rPr>
          <w:rFonts w:hint="eastAsia"/>
          <w:color w:val="000000"/>
          <w:sz w:val="21"/>
          <w:szCs w:val="21"/>
          <w:lang w:eastAsia="zh-CN"/>
        </w:rPr>
        <w:t>因此模型判断</w:t>
      </w:r>
      <w:r>
        <w:rPr>
          <w:rFonts w:hint="eastAsia"/>
          <w:color w:val="000000"/>
          <w:sz w:val="21"/>
          <w:lang w:eastAsia="zh-CN"/>
        </w:rPr>
        <w:t>：组织病理观察和肺间质胶原沉积肺组织。</w:t>
      </w:r>
    </w:p>
    <w:p w14:paraId="58F855B8">
      <w:pPr>
        <w:spacing w:line="360" w:lineRule="auto"/>
        <w:jc w:val="both"/>
        <w:rPr>
          <w:color w:val="000000"/>
          <w:sz w:val="21"/>
          <w:lang w:eastAsia="zh-CN"/>
        </w:rPr>
      </w:pPr>
      <w:r>
        <w:rPr>
          <w:rFonts w:hint="eastAsia" w:ascii="黑体" w:hAnsi="黑体" w:eastAsia="黑体" w:cs="黑体"/>
          <w:color w:val="000000"/>
          <w:sz w:val="21"/>
          <w:lang w:val="en-US" w:eastAsia="zh-CN"/>
        </w:rPr>
        <w:t xml:space="preserve">7.1 </w:t>
      </w:r>
      <w:r>
        <w:rPr>
          <w:rFonts w:hint="eastAsia"/>
          <w:color w:val="000000"/>
          <w:sz w:val="21"/>
          <w:lang w:eastAsia="zh-CN"/>
        </w:rPr>
        <w:t>羟脯氨酸（Hyp）、I 型胶原（COL-</w:t>
      </w:r>
      <w:r>
        <w:rPr>
          <w:color w:val="000000"/>
          <w:sz w:val="21"/>
          <w:lang w:eastAsia="zh-CN"/>
        </w:rPr>
        <w:t>Ⅰ</w:t>
      </w:r>
      <w:r>
        <w:rPr>
          <w:rFonts w:hint="eastAsia"/>
          <w:color w:val="000000"/>
          <w:sz w:val="21"/>
          <w:lang w:eastAsia="zh-CN"/>
        </w:rPr>
        <w:t>）和纤维黏连蛋白（FN）显著升高。</w:t>
      </w:r>
    </w:p>
    <w:p w14:paraId="71FBFAC4">
      <w:pPr>
        <w:spacing w:line="360" w:lineRule="auto"/>
        <w:jc w:val="both"/>
        <w:rPr>
          <w:color w:val="000000"/>
          <w:sz w:val="21"/>
          <w:lang w:eastAsia="zh-CN"/>
        </w:rPr>
      </w:pPr>
      <w:r>
        <w:rPr>
          <w:rFonts w:hint="eastAsia" w:ascii="黑体" w:hAnsi="黑体" w:eastAsia="黑体" w:cs="黑体"/>
          <w:color w:val="000000"/>
          <w:sz w:val="21"/>
          <w:lang w:val="en-US" w:eastAsia="zh-CN"/>
        </w:rPr>
        <w:t xml:space="preserve">7.2 </w:t>
      </w:r>
      <w:r>
        <w:rPr>
          <w:rFonts w:hint="eastAsia"/>
          <w:color w:val="000000"/>
          <w:sz w:val="21"/>
          <w:lang w:eastAsia="zh-CN"/>
        </w:rPr>
        <w:t>组织病理学改变包括：</w:t>
      </w:r>
      <w:r>
        <w:rPr>
          <w:color w:val="000000"/>
          <w:sz w:val="21"/>
          <w:lang w:eastAsia="zh-CN"/>
        </w:rPr>
        <w:t>HE</w:t>
      </w:r>
      <w:r>
        <w:rPr>
          <w:rFonts w:hint="eastAsia"/>
          <w:color w:val="000000"/>
          <w:sz w:val="21"/>
          <w:lang w:eastAsia="zh-CN"/>
        </w:rPr>
        <w:t>：模型大鼠肺组织基本肺泡组织结构破坏，残留的肺泡结构扩张，肺泡壁极度增厚，可见纤维增生，肺间质有淋巴细胞浸润，可见少量泡沫细胞。Masson：模型大鼠肺部出现明显的纤维组织增生。</w:t>
      </w:r>
      <w:r>
        <w:rPr>
          <w:color w:val="000000"/>
          <w:sz w:val="21"/>
          <w:lang w:eastAsia="zh-CN"/>
        </w:rPr>
        <w:t>辅助指标包括</w:t>
      </w:r>
      <w:r>
        <w:rPr>
          <w:rFonts w:hint="eastAsia"/>
          <w:color w:val="000000"/>
          <w:sz w:val="21"/>
          <w:lang w:eastAsia="zh-CN"/>
        </w:rPr>
        <w:t>肺功能、胸部C</w:t>
      </w:r>
      <w:r>
        <w:rPr>
          <w:color w:val="000000"/>
          <w:sz w:val="21"/>
          <w:lang w:eastAsia="zh-CN"/>
        </w:rPr>
        <w:t>T、</w:t>
      </w:r>
      <w:r>
        <w:rPr>
          <w:rFonts w:hint="eastAsia"/>
          <w:color w:val="000000"/>
          <w:sz w:val="21"/>
          <w:lang w:eastAsia="zh-CN"/>
        </w:rPr>
        <w:t>血气分析、肺系数的改变。</w:t>
      </w:r>
    </w:p>
    <w:p w14:paraId="78C6DEDD">
      <w:pPr>
        <w:spacing w:line="360" w:lineRule="auto"/>
        <w:jc w:val="both"/>
        <w:rPr>
          <w:color w:val="000000"/>
          <w:sz w:val="21"/>
          <w:lang w:eastAsia="zh-CN"/>
        </w:rPr>
      </w:pPr>
      <w:r>
        <w:rPr>
          <w:rFonts w:hint="eastAsia" w:ascii="黑体" w:hAnsi="黑体" w:eastAsia="黑体" w:cs="黑体"/>
          <w:color w:val="000000"/>
          <w:sz w:val="21"/>
          <w:lang w:val="en-US" w:eastAsia="zh-CN"/>
        </w:rPr>
        <w:t xml:space="preserve">7.3 </w:t>
      </w:r>
      <w:r>
        <w:rPr>
          <w:rFonts w:hint="eastAsia"/>
          <w:color w:val="000000"/>
          <w:sz w:val="21"/>
          <w:lang w:eastAsia="zh-CN"/>
        </w:rPr>
        <w:t>肺功能：模型大鼠潮气量、动态肺顺应性明显降低、气道阻力显著升高。</w:t>
      </w:r>
    </w:p>
    <w:p w14:paraId="3CB8AAF0">
      <w:pPr>
        <w:spacing w:line="360" w:lineRule="auto"/>
        <w:jc w:val="both"/>
        <w:rPr>
          <w:color w:val="000000"/>
          <w:sz w:val="21"/>
          <w:lang w:eastAsia="zh-CN"/>
        </w:rPr>
      </w:pPr>
      <w:r>
        <w:rPr>
          <w:rFonts w:hint="eastAsia" w:ascii="黑体" w:hAnsi="黑体" w:eastAsia="黑体" w:cs="黑体"/>
          <w:color w:val="000000"/>
          <w:sz w:val="21"/>
          <w:lang w:val="en-US" w:eastAsia="zh-CN"/>
        </w:rPr>
        <w:t xml:space="preserve">7.4 </w:t>
      </w:r>
      <w:r>
        <w:rPr>
          <w:rFonts w:hint="eastAsia"/>
          <w:color w:val="000000"/>
          <w:sz w:val="21"/>
          <w:lang w:eastAsia="zh-CN"/>
        </w:rPr>
        <w:t>胸部C</w:t>
      </w:r>
      <w:r>
        <w:rPr>
          <w:color w:val="000000"/>
          <w:sz w:val="21"/>
          <w:lang w:eastAsia="zh-CN"/>
        </w:rPr>
        <w:t>T</w:t>
      </w:r>
      <w:r>
        <w:rPr>
          <w:rFonts w:hint="eastAsia"/>
          <w:color w:val="000000"/>
          <w:sz w:val="21"/>
          <w:lang w:eastAsia="zh-CN"/>
        </w:rPr>
        <w:t>：双肺可见肺纹理改变，双肺肺门斑块状密度增高影，散在小圆形结节状高密度影和片状高密度影。</w:t>
      </w:r>
    </w:p>
    <w:p w14:paraId="0701FFBC">
      <w:pPr>
        <w:spacing w:line="360" w:lineRule="auto"/>
        <w:jc w:val="both"/>
        <w:rPr>
          <w:color w:val="000000"/>
          <w:sz w:val="21"/>
          <w:lang w:eastAsia="zh-CN"/>
        </w:rPr>
      </w:pPr>
      <w:r>
        <w:rPr>
          <w:rFonts w:hint="eastAsia" w:ascii="黑体" w:hAnsi="黑体" w:eastAsia="黑体" w:cs="黑体"/>
          <w:color w:val="000000"/>
          <w:sz w:val="21"/>
          <w:lang w:val="en-US" w:eastAsia="zh-CN"/>
        </w:rPr>
        <w:t xml:space="preserve">7.5 </w:t>
      </w:r>
      <w:r>
        <w:rPr>
          <w:rFonts w:hint="eastAsia"/>
          <w:color w:val="000000"/>
          <w:sz w:val="21"/>
          <w:lang w:eastAsia="zh-CN"/>
        </w:rPr>
        <w:t>血气分析：模型大鼠P</w:t>
      </w:r>
      <w:r>
        <w:rPr>
          <w:color w:val="000000"/>
          <w:sz w:val="21"/>
          <w:lang w:eastAsia="zh-CN"/>
        </w:rPr>
        <w:t>CO</w:t>
      </w:r>
      <w:r>
        <w:rPr>
          <w:color w:val="000000"/>
          <w:sz w:val="21"/>
          <w:vertAlign w:val="subscript"/>
          <w:lang w:eastAsia="zh-CN"/>
        </w:rPr>
        <w:t>2</w:t>
      </w:r>
      <w:r>
        <w:rPr>
          <w:rFonts w:hint="eastAsia"/>
          <w:color w:val="000000"/>
          <w:sz w:val="21"/>
          <w:lang w:eastAsia="zh-CN"/>
        </w:rPr>
        <w:t>显著升高、</w:t>
      </w:r>
      <w:r>
        <w:rPr>
          <w:color w:val="000000"/>
          <w:sz w:val="21"/>
          <w:lang w:eastAsia="zh-CN"/>
        </w:rPr>
        <w:t>SaO</w:t>
      </w:r>
      <w:r>
        <w:rPr>
          <w:color w:val="000000"/>
          <w:sz w:val="21"/>
          <w:vertAlign w:val="subscript"/>
          <w:lang w:eastAsia="zh-CN"/>
        </w:rPr>
        <w:t>2</w:t>
      </w:r>
      <w:r>
        <w:rPr>
          <w:rFonts w:hint="eastAsia"/>
          <w:color w:val="000000"/>
          <w:sz w:val="21"/>
          <w:lang w:eastAsia="zh-CN"/>
        </w:rPr>
        <w:t>和P</w:t>
      </w:r>
      <w:r>
        <w:rPr>
          <w:color w:val="000000"/>
          <w:sz w:val="21"/>
          <w:lang w:eastAsia="zh-CN"/>
        </w:rPr>
        <w:t>O</w:t>
      </w:r>
      <w:r>
        <w:rPr>
          <w:color w:val="000000"/>
          <w:sz w:val="21"/>
          <w:vertAlign w:val="subscript"/>
          <w:lang w:eastAsia="zh-CN"/>
        </w:rPr>
        <w:t>2</w:t>
      </w:r>
      <w:r>
        <w:rPr>
          <w:rFonts w:hint="eastAsia"/>
          <w:color w:val="000000"/>
          <w:sz w:val="21"/>
          <w:lang w:eastAsia="zh-CN"/>
        </w:rPr>
        <w:t>明显降低。</w:t>
      </w:r>
    </w:p>
    <w:p w14:paraId="2C802812">
      <w:pPr>
        <w:spacing w:line="360" w:lineRule="auto"/>
        <w:jc w:val="both"/>
        <w:rPr>
          <w:color w:val="000000"/>
          <w:sz w:val="21"/>
          <w:lang w:eastAsia="zh-CN"/>
        </w:rPr>
      </w:pPr>
      <w:r>
        <w:rPr>
          <w:rFonts w:hint="eastAsia" w:ascii="黑体" w:hAnsi="黑体" w:eastAsia="黑体" w:cs="黑体"/>
          <w:color w:val="000000"/>
          <w:sz w:val="21"/>
          <w:lang w:val="en-US" w:eastAsia="zh-CN"/>
        </w:rPr>
        <w:t xml:space="preserve">7.6 </w:t>
      </w:r>
      <w:r>
        <w:rPr>
          <w:rFonts w:hint="eastAsia"/>
          <w:color w:val="000000"/>
          <w:sz w:val="21"/>
          <w:lang w:eastAsia="zh-CN"/>
        </w:rPr>
        <w:t>肺系数：模型大鼠肺系数显著升高。伴随指标包括肺纤维化相关的因子、蛋白的改变。</w:t>
      </w:r>
    </w:p>
    <w:bookmarkEnd w:id="17"/>
    <w:p w14:paraId="2E478ABF">
      <w:pPr>
        <w:spacing w:line="360" w:lineRule="auto"/>
        <w:ind w:firstLine="422"/>
        <w:rPr>
          <w:rFonts w:ascii="宋体" w:hAnsi="宋体"/>
          <w:b/>
          <w:bCs/>
          <w:color w:val="000000"/>
          <w:sz w:val="21"/>
          <w:lang w:eastAsia="zh-CN"/>
        </w:rPr>
      </w:pPr>
    </w:p>
    <w:p w14:paraId="48DCDF0C">
      <w:pPr>
        <w:spacing w:line="360" w:lineRule="auto"/>
        <w:ind w:firstLine="422"/>
        <w:rPr>
          <w:rFonts w:ascii="宋体" w:hAnsi="宋体"/>
          <w:b/>
          <w:bCs/>
          <w:color w:val="000000"/>
          <w:sz w:val="21"/>
          <w:lang w:eastAsia="zh-CN"/>
        </w:rPr>
      </w:pPr>
    </w:p>
    <w:p w14:paraId="266BCC13">
      <w:pPr>
        <w:spacing w:line="360" w:lineRule="auto"/>
        <w:ind w:firstLine="422"/>
        <w:rPr>
          <w:rFonts w:ascii="宋体" w:hAnsi="宋体"/>
          <w:b/>
          <w:bCs/>
          <w:color w:val="000000"/>
          <w:sz w:val="21"/>
          <w:lang w:eastAsia="zh-CN"/>
        </w:rPr>
      </w:pPr>
    </w:p>
    <w:p w14:paraId="40A79EF2">
      <w:pPr>
        <w:pStyle w:val="55"/>
        <w:numPr>
          <w:ilvl w:val="0"/>
          <w:numId w:val="0"/>
        </w:numPr>
        <w:spacing w:line="360" w:lineRule="auto"/>
        <w:ind w:left="440" w:leftChars="0" w:firstLine="420" w:firstLineChars="0"/>
        <w:jc w:val="both"/>
        <w:rPr>
          <w:color w:val="000000"/>
          <w:sz w:val="21"/>
          <w:lang w:eastAsia="zh-CN"/>
        </w:rPr>
      </w:pPr>
      <w:r>
        <w:rPr>
          <w:rFonts w:hint="eastAsia"/>
          <w:color w:val="000000"/>
          <w:sz w:val="21"/>
          <w:lang w:eastAsia="zh-CN"/>
        </w:rPr>
        <w:br w:type="page"/>
      </w:r>
    </w:p>
    <w:p w14:paraId="3C1AAEE1">
      <w:pPr>
        <w:spacing w:line="360" w:lineRule="auto"/>
        <w:ind w:firstLine="480"/>
        <w:jc w:val="center"/>
        <w:rPr>
          <w:rFonts w:ascii="黑体" w:hAnsi="黑体" w:eastAsia="黑体" w:cs="黑体"/>
          <w:color w:val="000000"/>
          <w:szCs w:val="32"/>
          <w:lang w:eastAsia="zh-CN"/>
        </w:rPr>
      </w:pPr>
      <w:r>
        <w:rPr>
          <w:rFonts w:hint="eastAsia" w:ascii="黑体" w:hAnsi="黑体" w:eastAsia="黑体" w:cs="黑体"/>
          <w:color w:val="000000"/>
          <w:szCs w:val="32"/>
          <w:lang w:val="en-US" w:eastAsia="zh-CN"/>
        </w:rPr>
        <w:t xml:space="preserve"> </w:t>
      </w:r>
      <w:r>
        <w:rPr>
          <w:rFonts w:hint="eastAsia" w:ascii="黑体" w:hAnsi="黑体" w:eastAsia="黑体" w:cs="黑体"/>
          <w:color w:val="000000"/>
          <w:szCs w:val="32"/>
          <w:lang w:eastAsia="zh-CN"/>
        </w:rPr>
        <w:t>附录</w:t>
      </w:r>
      <w:r>
        <w:rPr>
          <w:rFonts w:ascii="黑体" w:hAnsi="黑体" w:eastAsia="黑体" w:cs="黑体"/>
          <w:color w:val="000000"/>
          <w:szCs w:val="32"/>
          <w:lang w:eastAsia="zh-CN"/>
        </w:rPr>
        <w:t>A</w:t>
      </w:r>
    </w:p>
    <w:p w14:paraId="3F33D9F2">
      <w:pPr>
        <w:spacing w:line="360" w:lineRule="auto"/>
        <w:ind w:firstLine="480"/>
        <w:jc w:val="center"/>
        <w:rPr>
          <w:rFonts w:ascii="黑体" w:hAnsi="黑体" w:eastAsia="黑体" w:cs="黑体"/>
          <w:color w:val="000000"/>
          <w:szCs w:val="32"/>
          <w:lang w:eastAsia="zh-CN"/>
        </w:rPr>
      </w:pPr>
      <w:r>
        <w:rPr>
          <w:rFonts w:hint="eastAsia" w:ascii="黑体" w:hAnsi="黑体" w:eastAsia="黑体" w:cs="黑体"/>
          <w:color w:val="000000"/>
          <w:szCs w:val="32"/>
          <w:lang w:val="en-US" w:eastAsia="zh-CN"/>
        </w:rPr>
        <w:t xml:space="preserve"> </w:t>
      </w:r>
      <w:r>
        <w:rPr>
          <w:rFonts w:hint="eastAsia" w:ascii="黑体" w:hAnsi="黑体" w:eastAsia="黑体" w:cs="黑体"/>
          <w:color w:val="000000"/>
          <w:szCs w:val="32"/>
          <w:lang w:eastAsia="zh-CN"/>
        </w:rPr>
        <w:t>（资料性附录）</w:t>
      </w:r>
    </w:p>
    <w:p w14:paraId="778C1BB3">
      <w:pPr>
        <w:spacing w:line="360" w:lineRule="auto"/>
        <w:ind w:firstLine="640"/>
        <w:jc w:val="center"/>
        <w:rPr>
          <w:rFonts w:ascii="黑体" w:hAnsi="黑体" w:eastAsia="黑体" w:cs="黑体"/>
          <w:color w:val="000000"/>
          <w:sz w:val="32"/>
          <w:szCs w:val="40"/>
          <w:lang w:eastAsia="zh-CN"/>
        </w:rPr>
      </w:pPr>
      <w:r>
        <w:rPr>
          <w:rFonts w:hint="eastAsia" w:ascii="黑体" w:hAnsi="黑体" w:eastAsia="黑体" w:cs="黑体"/>
          <w:color w:val="000000"/>
          <w:sz w:val="32"/>
          <w:szCs w:val="40"/>
          <w:lang w:eastAsia="zh-CN"/>
        </w:rPr>
        <w:t>动物麻醉</w:t>
      </w:r>
    </w:p>
    <w:p w14:paraId="76F8017D">
      <w:pPr>
        <w:spacing w:before="72" w:line="400" w:lineRule="exact"/>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A.1 麻醉剂选择</w:t>
      </w:r>
    </w:p>
    <w:p w14:paraId="691FC1E0">
      <w:pPr>
        <w:spacing w:before="72" w:line="400" w:lineRule="exact"/>
        <w:ind w:firstLine="420" w:firstLineChars="200"/>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小鼠可选择三溴乙醇或戊巴比妥钠麻醉，大鼠可选择舒泰50或戊巴比妥钠进行麻醉。</w:t>
      </w:r>
    </w:p>
    <w:p w14:paraId="2D969E59">
      <w:pPr>
        <w:spacing w:before="72" w:line="400" w:lineRule="exact"/>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A.2 动物麻醉</w:t>
      </w:r>
    </w:p>
    <w:p w14:paraId="479E1FF7">
      <w:pPr>
        <w:spacing w:before="72" w:line="400" w:lineRule="exact"/>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A.2.1 麻醉选择</w:t>
      </w:r>
    </w:p>
    <w:p w14:paraId="4BEDFB8C">
      <w:pPr>
        <w:spacing w:line="400" w:lineRule="exact"/>
        <w:ind w:firstLine="420"/>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动物造模时可选择上述麻醉剂麻醉。肺功能检测时小鼠建议使用三溴乙醇，大鼠建议选择舒泰50，避免戊巴比妥钠麻醉造成的呼吸暂停。</w:t>
      </w:r>
    </w:p>
    <w:p w14:paraId="7A29460F">
      <w:pPr>
        <w:spacing w:before="72" w:line="400" w:lineRule="exact"/>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A.2.2 麻醉剂量及配置</w:t>
      </w:r>
    </w:p>
    <w:p w14:paraId="3752020D">
      <w:pPr>
        <w:spacing w:line="400" w:lineRule="exact"/>
        <w:ind w:firstLine="420" w:firstLineChars="200"/>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戊巴比妥钠用生理盐水配制成0.8%溶液，一般现用现配。按照大鼠禁食体质量0.6 mL/100 g腹腔注射戊巴比妥钠进行麻醉。小鼠按禁食体质量 0.1 mL/10 g腹腔注射戊巴比妥钠进行麻醉。三溴乙醇用生理盐水配制成1.5%溶液，现用现配，小鼠按禁食体质量 0.16 mL/10 g 腹腔注射麻醉。舒泰50 生理盐水配制50 mg/mL 大鼠按体质量0.1 mL/100 g 腹腔注射麻醉。</w:t>
      </w:r>
    </w:p>
    <w:p w14:paraId="1F93B6FD">
      <w:pPr>
        <w:spacing w:before="72" w:line="400" w:lineRule="exact"/>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A.2.3</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注意事项</w:t>
      </w:r>
    </w:p>
    <w:p w14:paraId="5F4AE8AA">
      <w:pPr>
        <w:spacing w:line="400" w:lineRule="exact"/>
        <w:ind w:firstLine="420" w:firstLineChars="200"/>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动物腹腔注射戊巴比妥钠后，会有一段麻醉潜伏期。密切观察动物麻醉状况，及时将麻醉动物与未麻醉动物分开放置。</w:t>
      </w:r>
    </w:p>
    <w:p w14:paraId="30B6BB70">
      <w:pPr>
        <w:spacing w:line="400" w:lineRule="exact"/>
        <w:ind w:firstLine="420" w:firstLineChars="200"/>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大鼠戊巴比妥钠腹腔注射麻醉维持时间约1 h，但也存在个体差异，有些动物麻醉时间很短。</w:t>
      </w:r>
    </w:p>
    <w:p w14:paraId="65201719">
      <w:pPr>
        <w:spacing w:line="400" w:lineRule="exact"/>
        <w:ind w:firstLine="420" w:firstLineChars="200"/>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 xml:space="preserve">为保证麻醉效果，建议动物麻醉后尽快进行实验。 </w:t>
      </w:r>
    </w:p>
    <w:p w14:paraId="10E98A7F">
      <w:pPr>
        <w:spacing w:before="72" w:line="400" w:lineRule="exact"/>
        <w:ind w:firstLine="480"/>
        <w:rPr>
          <w:lang w:eastAsia="zh-CN"/>
        </w:rPr>
      </w:pPr>
    </w:p>
    <w:p w14:paraId="1D7E3241">
      <w:pPr>
        <w:spacing w:before="72" w:line="400" w:lineRule="exact"/>
        <w:ind w:firstLine="480"/>
        <w:rPr>
          <w:lang w:eastAsia="zh-CN"/>
        </w:rPr>
      </w:pPr>
    </w:p>
    <w:p w14:paraId="79C311CF">
      <w:pPr>
        <w:spacing w:before="72" w:line="400" w:lineRule="exact"/>
        <w:ind w:firstLine="480"/>
        <w:rPr>
          <w:lang w:eastAsia="zh-CN"/>
        </w:rPr>
      </w:pPr>
    </w:p>
    <w:p w14:paraId="7E5FA1A9">
      <w:pPr>
        <w:spacing w:before="72" w:line="400" w:lineRule="exact"/>
        <w:ind w:firstLine="480"/>
        <w:rPr>
          <w:lang w:eastAsia="zh-CN"/>
        </w:rPr>
      </w:pPr>
    </w:p>
    <w:p w14:paraId="21B9E415">
      <w:pPr>
        <w:spacing w:before="72" w:line="400" w:lineRule="exact"/>
        <w:ind w:firstLine="480"/>
        <w:rPr>
          <w:lang w:eastAsia="zh-CN"/>
        </w:rPr>
      </w:pPr>
    </w:p>
    <w:p w14:paraId="2BB3675F">
      <w:pPr>
        <w:spacing w:before="72" w:line="400" w:lineRule="exact"/>
        <w:ind w:firstLine="480"/>
        <w:rPr>
          <w:lang w:eastAsia="zh-CN"/>
        </w:rPr>
      </w:pPr>
    </w:p>
    <w:p w14:paraId="375041BA">
      <w:pPr>
        <w:spacing w:before="72" w:line="400" w:lineRule="exact"/>
        <w:ind w:firstLine="480"/>
        <w:rPr>
          <w:lang w:eastAsia="zh-CN"/>
        </w:rPr>
      </w:pPr>
    </w:p>
    <w:p w14:paraId="4FB12FF7">
      <w:pPr>
        <w:spacing w:before="72" w:line="400" w:lineRule="exact"/>
        <w:ind w:firstLine="480"/>
        <w:rPr>
          <w:lang w:eastAsia="zh-CN"/>
        </w:rPr>
      </w:pPr>
    </w:p>
    <w:p w14:paraId="48D9A9F4">
      <w:pPr>
        <w:spacing w:before="72" w:line="400" w:lineRule="exact"/>
        <w:ind w:firstLine="480"/>
        <w:rPr>
          <w:lang w:eastAsia="zh-CN"/>
        </w:rPr>
      </w:pPr>
    </w:p>
    <w:p w14:paraId="22EAE4AB">
      <w:pPr>
        <w:spacing w:line="360" w:lineRule="auto"/>
        <w:ind w:firstLine="480"/>
        <w:jc w:val="center"/>
        <w:rPr>
          <w:rFonts w:ascii="黑体" w:hAnsi="黑体" w:eastAsia="黑体" w:cs="黑体"/>
          <w:color w:val="000000"/>
          <w:szCs w:val="32"/>
          <w:lang w:eastAsia="zh-CN"/>
        </w:rPr>
      </w:pPr>
    </w:p>
    <w:p w14:paraId="37BFE878">
      <w:pPr>
        <w:spacing w:line="360" w:lineRule="auto"/>
        <w:ind w:firstLine="480"/>
        <w:jc w:val="center"/>
        <w:rPr>
          <w:rFonts w:ascii="黑体" w:hAnsi="黑体" w:eastAsia="黑体" w:cs="黑体"/>
          <w:color w:val="000000"/>
          <w:szCs w:val="32"/>
          <w:lang w:eastAsia="zh-CN"/>
        </w:rPr>
      </w:pPr>
      <w:r>
        <w:rPr>
          <w:rFonts w:hint="eastAsia" w:ascii="黑体" w:hAnsi="黑体" w:eastAsia="黑体" w:cs="黑体"/>
          <w:color w:val="000000"/>
          <w:szCs w:val="32"/>
          <w:lang w:val="en-US" w:eastAsia="zh-CN"/>
        </w:rPr>
        <w:t xml:space="preserve"> </w:t>
      </w:r>
      <w:r>
        <w:rPr>
          <w:rFonts w:hint="eastAsia" w:ascii="黑体" w:hAnsi="黑体" w:eastAsia="黑体" w:cs="黑体"/>
          <w:color w:val="000000"/>
          <w:szCs w:val="32"/>
          <w:lang w:eastAsia="zh-CN"/>
        </w:rPr>
        <w:t>附录B</w:t>
      </w:r>
    </w:p>
    <w:p w14:paraId="3A46B32C">
      <w:pPr>
        <w:spacing w:line="360" w:lineRule="auto"/>
        <w:ind w:firstLine="480"/>
        <w:jc w:val="center"/>
        <w:rPr>
          <w:rFonts w:ascii="黑体" w:hAnsi="黑体" w:eastAsia="黑体" w:cs="黑体"/>
          <w:color w:val="000000"/>
          <w:szCs w:val="32"/>
          <w:lang w:eastAsia="zh-CN"/>
        </w:rPr>
      </w:pPr>
      <w:r>
        <w:rPr>
          <w:rFonts w:hint="eastAsia" w:ascii="黑体" w:hAnsi="黑体" w:eastAsia="黑体" w:cs="黑体"/>
          <w:color w:val="000000"/>
          <w:szCs w:val="32"/>
          <w:lang w:val="en-US" w:eastAsia="zh-CN"/>
        </w:rPr>
        <w:t xml:space="preserve"> </w:t>
      </w:r>
      <w:r>
        <w:rPr>
          <w:rFonts w:hint="eastAsia" w:ascii="黑体" w:hAnsi="黑体" w:eastAsia="黑体" w:cs="黑体"/>
          <w:color w:val="000000"/>
          <w:szCs w:val="32"/>
          <w:lang w:eastAsia="zh-CN"/>
        </w:rPr>
        <w:t>（资料性附录）</w:t>
      </w:r>
    </w:p>
    <w:p w14:paraId="1F7498AE">
      <w:pPr>
        <w:spacing w:line="360" w:lineRule="auto"/>
        <w:ind w:firstLine="640"/>
        <w:jc w:val="center"/>
        <w:rPr>
          <w:rFonts w:ascii="黑体" w:hAnsi="黑体" w:eastAsia="黑体" w:cs="黑体"/>
          <w:color w:val="000000"/>
          <w:sz w:val="32"/>
          <w:szCs w:val="40"/>
          <w:lang w:eastAsia="zh-CN"/>
        </w:rPr>
      </w:pPr>
      <w:r>
        <w:rPr>
          <w:rFonts w:hint="eastAsia" w:ascii="黑体" w:hAnsi="黑体" w:eastAsia="黑体" w:cs="黑体"/>
          <w:color w:val="000000"/>
          <w:sz w:val="32"/>
          <w:szCs w:val="40"/>
          <w:lang w:eastAsia="zh-CN"/>
        </w:rPr>
        <w:t>动物给药操作方法</w:t>
      </w:r>
    </w:p>
    <w:p w14:paraId="70ACFEFB">
      <w:pPr>
        <w:spacing w:line="360" w:lineRule="auto"/>
        <w:ind w:firstLine="480" w:firstLineChars="200"/>
        <w:jc w:val="center"/>
        <w:rPr>
          <w:rFonts w:ascii="黑体" w:hAnsi="黑体" w:eastAsia="黑体" w:cs="黑体"/>
          <w:color w:val="000000"/>
          <w:szCs w:val="32"/>
          <w:lang w:eastAsia="zh-CN"/>
        </w:rPr>
      </w:pPr>
    </w:p>
    <w:p w14:paraId="3B936DB1">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B.1 气管内给药</w:t>
      </w:r>
    </w:p>
    <w:p w14:paraId="79A89AE0">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B.1.1 气管注射</w:t>
      </w:r>
    </w:p>
    <w:p w14:paraId="440C708A">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B.1.1.1 </w:t>
      </w:r>
      <w:r>
        <w:rPr>
          <w:rFonts w:hint="default" w:ascii="Times New Roman" w:hAnsi="Times New Roman" w:eastAsia="宋体" w:cs="Times New Roman"/>
          <w:sz w:val="21"/>
          <w:szCs w:val="21"/>
          <w:lang w:eastAsia="zh-CN"/>
        </w:rPr>
        <w:t>选择合适的麻醉剂将动物麻醉。</w:t>
      </w:r>
    </w:p>
    <w:p w14:paraId="7BED9D72">
      <w:pPr>
        <w:spacing w:line="360" w:lineRule="auto"/>
        <w:jc w:val="both"/>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sz w:val="21"/>
          <w:szCs w:val="21"/>
          <w:lang w:eastAsia="zh-CN"/>
        </w:rPr>
        <w:t xml:space="preserve">B.1.1.2 </w:t>
      </w:r>
      <w:r>
        <w:rPr>
          <w:rFonts w:hint="default" w:ascii="Times New Roman" w:hAnsi="Times New Roman" w:eastAsia="宋体" w:cs="Times New Roman"/>
          <w:sz w:val="21"/>
          <w:szCs w:val="21"/>
          <w:lang w:eastAsia="zh-CN"/>
        </w:rPr>
        <w:t>碘酒消毒大鼠喉部皮肤，手术剪剪开喉部，眼科镊撕开肌肉，钝性暴露剥离气管。</w:t>
      </w:r>
    </w:p>
    <w:p w14:paraId="15A434A5">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B.1.1.3 </w:t>
      </w:r>
      <w:r>
        <w:rPr>
          <w:rFonts w:hint="default" w:ascii="Times New Roman" w:hAnsi="Times New Roman" w:eastAsia="宋体" w:cs="Times New Roman"/>
          <w:sz w:val="21"/>
          <w:szCs w:val="21"/>
          <w:lang w:eastAsia="zh-CN"/>
        </w:rPr>
        <w:t>使用注射器吸取适量药物，继续抽取少量空气，注射给药后，将空气推尽，迅速注射后直立动物，旋转3-4周使药物均匀分布。</w:t>
      </w:r>
    </w:p>
    <w:p w14:paraId="762B9CA2">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B.1.2 气管滴注</w:t>
      </w:r>
    </w:p>
    <w:p w14:paraId="68CE1816">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B.1.2.1 </w:t>
      </w:r>
      <w:r>
        <w:rPr>
          <w:rFonts w:hint="default" w:ascii="Times New Roman" w:hAnsi="Times New Roman" w:eastAsia="宋体" w:cs="Times New Roman"/>
          <w:sz w:val="21"/>
          <w:szCs w:val="21"/>
          <w:lang w:eastAsia="zh-CN"/>
        </w:rPr>
        <w:t>选择合适的麻醉剂将动物麻醉。</w:t>
      </w:r>
    </w:p>
    <w:p w14:paraId="61E5A447">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B.1.2.2 </w:t>
      </w:r>
      <w:r>
        <w:rPr>
          <w:rFonts w:hint="default" w:ascii="Times New Roman" w:hAnsi="Times New Roman" w:eastAsia="宋体" w:cs="Times New Roman"/>
          <w:sz w:val="21"/>
          <w:szCs w:val="21"/>
          <w:lang w:eastAsia="zh-CN"/>
        </w:rPr>
        <w:t>动物固定，仰面倾斜，使用冷光源照射，准确找到动物的声门。</w:t>
      </w:r>
    </w:p>
    <w:p w14:paraId="0914717B">
      <w:pPr>
        <w:spacing w:line="360" w:lineRule="auto"/>
        <w:jc w:val="both"/>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sz w:val="21"/>
          <w:szCs w:val="21"/>
          <w:lang w:eastAsia="zh-CN"/>
        </w:rPr>
        <w:t xml:space="preserve">B.1.2.3 </w:t>
      </w:r>
      <w:r>
        <w:rPr>
          <w:rFonts w:hint="default" w:ascii="Times New Roman" w:hAnsi="Times New Roman" w:eastAsia="宋体" w:cs="Times New Roman"/>
          <w:sz w:val="21"/>
          <w:szCs w:val="21"/>
          <w:lang w:eastAsia="zh-CN"/>
        </w:rPr>
        <w:t>使用软管注射器吸取适量药物，继续抽取少量空气，经口插入声门，进行药物注射，注射后直立动物，旋转3-4周使药物均匀分布。</w:t>
      </w:r>
    </w:p>
    <w:p w14:paraId="11E769FF">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B.2 腹腔注射</w:t>
      </w:r>
    </w:p>
    <w:p w14:paraId="6EB069BC">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B.2.1 </w:t>
      </w:r>
      <w:r>
        <w:rPr>
          <w:rFonts w:hint="default" w:ascii="Times New Roman" w:hAnsi="Times New Roman" w:eastAsia="宋体" w:cs="Times New Roman"/>
          <w:sz w:val="21"/>
          <w:szCs w:val="21"/>
          <w:lang w:eastAsia="zh-CN"/>
        </w:rPr>
        <w:t>左手抓取动物，固定，使动物腹部向上，头呈低位，右手持注射器。</w:t>
      </w:r>
    </w:p>
    <w:p w14:paraId="26BA5E64">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B.2.2 </w:t>
      </w:r>
      <w:r>
        <w:rPr>
          <w:rFonts w:hint="default" w:ascii="Times New Roman" w:hAnsi="Times New Roman" w:eastAsia="宋体" w:cs="Times New Roman"/>
          <w:sz w:val="21"/>
          <w:szCs w:val="21"/>
          <w:lang w:eastAsia="zh-CN"/>
        </w:rPr>
        <w:t>右手持注射器，插入动物腹部，缓慢以45度左右进针，进针深度小于1 cm，进针的感受为局部皮肤凹陷消失和落空感，将药物推入轻微旋转针头，再缓缓拔出。</w:t>
      </w:r>
    </w:p>
    <w:p w14:paraId="15F645FF">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B.3 皮下注射</w:t>
      </w:r>
    </w:p>
    <w:p w14:paraId="01544DBC">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B.3.1 </w:t>
      </w:r>
      <w:r>
        <w:rPr>
          <w:rFonts w:hint="default" w:ascii="Times New Roman" w:hAnsi="Times New Roman" w:eastAsia="宋体" w:cs="Times New Roman"/>
          <w:sz w:val="21"/>
          <w:szCs w:val="21"/>
          <w:lang w:eastAsia="zh-CN"/>
        </w:rPr>
        <w:t>抓取固定动物，用酒精棉球擦拭后颈部，左手拇指捏起动物皮肤形成褶皱。</w:t>
      </w:r>
    </w:p>
    <w:p w14:paraId="32C0C799">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B.3.2 </w:t>
      </w:r>
      <w:r>
        <w:rPr>
          <w:rFonts w:hint="default" w:ascii="Times New Roman" w:hAnsi="Times New Roman" w:eastAsia="宋体" w:cs="Times New Roman"/>
          <w:sz w:val="21"/>
          <w:szCs w:val="21"/>
          <w:lang w:eastAsia="zh-CN"/>
        </w:rPr>
        <w:t>右手持注射器从褶皱下穿刺，针头左右易摆动即表示刺入皮下。</w:t>
      </w:r>
    </w:p>
    <w:p w14:paraId="05014913">
      <w:pPr>
        <w:spacing w:line="360" w:lineRule="auto"/>
        <w:jc w:val="both"/>
        <w:rPr>
          <w:rFonts w:hint="default" w:ascii="Times New Roman" w:hAnsi="Times New Roman" w:eastAsia="宋体" w:cs="Times New Roman"/>
          <w:sz w:val="21"/>
          <w:szCs w:val="21"/>
          <w:lang w:eastAsia="zh-CN"/>
        </w:rPr>
      </w:pPr>
      <w:r>
        <w:rPr>
          <w:rFonts w:hint="default" w:ascii="Times New Roman" w:hAnsi="Times New Roman" w:eastAsia="宋体" w:cs="Times New Roman"/>
          <w:color w:val="000000"/>
          <w:sz w:val="21"/>
          <w:szCs w:val="21"/>
          <w:lang w:eastAsia="zh-CN"/>
        </w:rPr>
        <w:t xml:space="preserve">B.3.3 </w:t>
      </w:r>
      <w:r>
        <w:rPr>
          <w:rFonts w:hint="default" w:ascii="Times New Roman" w:hAnsi="Times New Roman" w:eastAsia="宋体" w:cs="Times New Roman"/>
          <w:sz w:val="21"/>
          <w:szCs w:val="21"/>
          <w:lang w:eastAsia="zh-CN"/>
        </w:rPr>
        <w:t>轻轻抽吸，如无回流即可注射药物。</w:t>
      </w:r>
    </w:p>
    <w:p w14:paraId="5C349B6E">
      <w:pPr>
        <w:spacing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B.3.4 </w:t>
      </w:r>
      <w:r>
        <w:rPr>
          <w:rFonts w:hint="default" w:ascii="Times New Roman" w:hAnsi="Times New Roman" w:eastAsia="宋体" w:cs="Times New Roman"/>
          <w:sz w:val="21"/>
          <w:szCs w:val="21"/>
          <w:lang w:eastAsia="zh-CN"/>
        </w:rPr>
        <w:t>注射完抽出注射器，用干棉球轻按针口片刻，防止药液外漏。</w:t>
      </w:r>
    </w:p>
    <w:p w14:paraId="03B59FC1">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B.4 静脉注射</w:t>
      </w:r>
    </w:p>
    <w:p w14:paraId="16FA8E5B">
      <w:pPr>
        <w:spacing w:line="360" w:lineRule="auto"/>
        <w:jc w:val="both"/>
        <w:rPr>
          <w:rFonts w:hint="default" w:ascii="Times New Roman" w:hAnsi="Times New Roman" w:eastAsia="宋体" w:cs="Times New Roman"/>
          <w:color w:val="000000"/>
          <w:sz w:val="21"/>
          <w:highlight w:val="yellow"/>
          <w:lang w:eastAsia="zh-CN"/>
        </w:rPr>
      </w:pPr>
      <w:r>
        <w:rPr>
          <w:rFonts w:hint="default" w:ascii="Times New Roman" w:hAnsi="Times New Roman" w:eastAsia="宋体" w:cs="Times New Roman"/>
          <w:color w:val="000000"/>
          <w:sz w:val="21"/>
          <w:szCs w:val="21"/>
          <w:lang w:eastAsia="zh-CN"/>
        </w:rPr>
        <w:t xml:space="preserve">B.4.1 </w:t>
      </w:r>
      <w:r>
        <w:rPr>
          <w:rFonts w:hint="default" w:ascii="Times New Roman" w:hAnsi="Times New Roman" w:eastAsia="宋体" w:cs="Times New Roman"/>
          <w:sz w:val="21"/>
          <w:szCs w:val="21"/>
          <w:lang w:eastAsia="zh-CN"/>
        </w:rPr>
        <w:t>将动物置于固定器中，暴露尾部，左手抓住尾巴中部，选择尾部左右两侧静脉中任一条，用75%酒精反复擦拭尾部。</w:t>
      </w:r>
    </w:p>
    <w:p w14:paraId="512CEDC9">
      <w:pPr>
        <w:spacing w:before="72"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B.4.2 </w:t>
      </w:r>
      <w:r>
        <w:rPr>
          <w:rFonts w:hint="default" w:ascii="Times New Roman" w:hAnsi="Times New Roman" w:eastAsia="宋体" w:cs="Times New Roman"/>
          <w:sz w:val="21"/>
          <w:szCs w:val="21"/>
          <w:lang w:eastAsia="zh-CN"/>
        </w:rPr>
        <w:t>以左手拇指和食指捏住鼠尾两侧，使静脉充盈，并使静脉朝上。用中指从下面托起尾巴，以无名指及小指挟住尾巴的末梢。</w:t>
      </w:r>
    </w:p>
    <w:p w14:paraId="4A139A81">
      <w:pPr>
        <w:spacing w:before="72"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B.4.3 </w:t>
      </w:r>
      <w:r>
        <w:rPr>
          <w:rFonts w:hint="default" w:ascii="Times New Roman" w:hAnsi="Times New Roman" w:eastAsia="宋体" w:cs="Times New Roman"/>
          <w:sz w:val="21"/>
          <w:szCs w:val="21"/>
          <w:lang w:eastAsia="zh-CN"/>
        </w:rPr>
        <w:t>右手持针头注射器，使针头与静脉平行（小于30°），从尾巴的下1/4处进针。针尖斜面朝上，轻轻挑刺入皮肤后针头立即和血管平行。</w:t>
      </w:r>
    </w:p>
    <w:p w14:paraId="5BD9B3B0">
      <w:pPr>
        <w:spacing w:before="72" w:line="360" w:lineRule="auto"/>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B.4.4 </w:t>
      </w:r>
      <w:r>
        <w:rPr>
          <w:rFonts w:hint="default" w:ascii="Times New Roman" w:hAnsi="Times New Roman" w:eastAsia="宋体" w:cs="Times New Roman"/>
          <w:sz w:val="21"/>
          <w:szCs w:val="21"/>
          <w:lang w:eastAsia="zh-CN"/>
        </w:rPr>
        <w:t>开始注射时宜少量缓注，如无阻力，无白色皮丘出现，固定针头和尾巴，解除对尾根部的压迫后，可继续注射。</w:t>
      </w:r>
    </w:p>
    <w:p w14:paraId="37BCA024">
      <w:pPr>
        <w:spacing w:before="72"/>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B.4.5 </w:t>
      </w:r>
      <w:r>
        <w:rPr>
          <w:rFonts w:hint="default" w:ascii="Times New Roman" w:hAnsi="Times New Roman" w:eastAsia="宋体" w:cs="Times New Roman"/>
          <w:sz w:val="21"/>
          <w:szCs w:val="21"/>
          <w:lang w:eastAsia="zh-CN"/>
        </w:rPr>
        <w:t>注射完毕后把尾部向注射侧弯曲或用左手拇指按压注射部位1-2分钟以止血。</w:t>
      </w:r>
    </w:p>
    <w:p w14:paraId="23F7A6D9">
      <w:pPr>
        <w:spacing w:before="72" w:line="400" w:lineRule="exact"/>
        <w:ind w:firstLine="480"/>
        <w:jc w:val="both"/>
        <w:rPr>
          <w:rFonts w:hint="default" w:ascii="Times New Roman" w:hAnsi="Times New Roman" w:eastAsia="宋体" w:cs="Times New Roman"/>
          <w:lang w:eastAsia="zh-CN"/>
        </w:rPr>
      </w:pPr>
    </w:p>
    <w:p w14:paraId="7C8A722A">
      <w:pPr>
        <w:spacing w:line="360" w:lineRule="auto"/>
        <w:ind w:firstLine="480" w:firstLineChars="200"/>
        <w:jc w:val="center"/>
        <w:rPr>
          <w:rFonts w:hint="default" w:ascii="Times New Roman" w:hAnsi="Times New Roman" w:eastAsia="宋体" w:cs="Times New Roman"/>
          <w:color w:val="000000"/>
          <w:szCs w:val="32"/>
          <w:lang w:eastAsia="zh-CN"/>
        </w:rPr>
      </w:pPr>
    </w:p>
    <w:p w14:paraId="33D96A28">
      <w:pPr>
        <w:spacing w:line="360" w:lineRule="auto"/>
        <w:ind w:firstLine="480" w:firstLineChars="200"/>
        <w:jc w:val="center"/>
        <w:rPr>
          <w:rFonts w:ascii="黑体" w:hAnsi="黑体" w:eastAsia="黑体" w:cs="黑体"/>
          <w:color w:val="000000"/>
          <w:szCs w:val="32"/>
          <w:lang w:eastAsia="zh-CN"/>
        </w:rPr>
      </w:pPr>
    </w:p>
    <w:p w14:paraId="1B45D922">
      <w:pPr>
        <w:spacing w:line="360" w:lineRule="auto"/>
        <w:ind w:firstLine="480" w:firstLineChars="200"/>
        <w:jc w:val="center"/>
        <w:rPr>
          <w:rFonts w:ascii="黑体" w:hAnsi="黑体" w:eastAsia="黑体" w:cs="黑体"/>
          <w:color w:val="000000"/>
          <w:szCs w:val="32"/>
          <w:lang w:eastAsia="zh-CN"/>
        </w:rPr>
      </w:pPr>
    </w:p>
    <w:p w14:paraId="668BDE4B">
      <w:pPr>
        <w:spacing w:line="360" w:lineRule="auto"/>
        <w:ind w:firstLine="480" w:firstLineChars="200"/>
        <w:jc w:val="center"/>
        <w:rPr>
          <w:rFonts w:ascii="黑体" w:hAnsi="黑体" w:eastAsia="黑体" w:cs="黑体"/>
          <w:color w:val="000000"/>
          <w:szCs w:val="32"/>
          <w:lang w:eastAsia="zh-CN"/>
        </w:rPr>
      </w:pPr>
    </w:p>
    <w:p w14:paraId="612B8A6C">
      <w:pPr>
        <w:spacing w:line="360" w:lineRule="auto"/>
        <w:ind w:firstLine="480" w:firstLineChars="200"/>
        <w:jc w:val="center"/>
        <w:rPr>
          <w:rFonts w:ascii="黑体" w:hAnsi="黑体" w:eastAsia="黑体" w:cs="黑体"/>
          <w:color w:val="000000"/>
          <w:szCs w:val="32"/>
          <w:lang w:eastAsia="zh-CN"/>
        </w:rPr>
      </w:pPr>
    </w:p>
    <w:p w14:paraId="498C8A0B">
      <w:pPr>
        <w:spacing w:line="360" w:lineRule="auto"/>
        <w:ind w:firstLine="480" w:firstLineChars="200"/>
        <w:jc w:val="center"/>
        <w:rPr>
          <w:rFonts w:ascii="黑体" w:hAnsi="黑体" w:eastAsia="黑体" w:cs="黑体"/>
          <w:color w:val="000000"/>
          <w:szCs w:val="32"/>
          <w:lang w:eastAsia="zh-CN"/>
        </w:rPr>
      </w:pPr>
    </w:p>
    <w:p w14:paraId="647E7CE1">
      <w:pPr>
        <w:spacing w:line="360" w:lineRule="auto"/>
        <w:ind w:firstLine="480" w:firstLineChars="200"/>
        <w:jc w:val="center"/>
        <w:rPr>
          <w:rFonts w:ascii="黑体" w:hAnsi="黑体" w:eastAsia="黑体" w:cs="黑体"/>
          <w:color w:val="000000"/>
          <w:szCs w:val="32"/>
          <w:lang w:eastAsia="zh-CN"/>
        </w:rPr>
      </w:pPr>
    </w:p>
    <w:p w14:paraId="2271CD55">
      <w:pPr>
        <w:spacing w:line="360" w:lineRule="auto"/>
        <w:ind w:firstLine="480" w:firstLineChars="200"/>
        <w:jc w:val="center"/>
        <w:rPr>
          <w:rFonts w:ascii="黑体" w:hAnsi="黑体" w:eastAsia="黑体" w:cs="黑体"/>
          <w:color w:val="000000"/>
          <w:szCs w:val="32"/>
          <w:lang w:eastAsia="zh-CN"/>
        </w:rPr>
      </w:pPr>
    </w:p>
    <w:p w14:paraId="41F0B0E9">
      <w:pPr>
        <w:spacing w:line="360" w:lineRule="auto"/>
        <w:ind w:firstLine="480" w:firstLineChars="200"/>
        <w:jc w:val="center"/>
        <w:rPr>
          <w:rFonts w:ascii="黑体" w:hAnsi="黑体" w:eastAsia="黑体" w:cs="黑体"/>
          <w:color w:val="000000"/>
          <w:szCs w:val="32"/>
          <w:lang w:eastAsia="zh-CN"/>
        </w:rPr>
      </w:pPr>
    </w:p>
    <w:p w14:paraId="386010CA">
      <w:pPr>
        <w:spacing w:line="360" w:lineRule="auto"/>
        <w:ind w:firstLine="480" w:firstLineChars="200"/>
        <w:jc w:val="center"/>
        <w:rPr>
          <w:rFonts w:ascii="黑体" w:hAnsi="黑体" w:eastAsia="黑体" w:cs="黑体"/>
          <w:color w:val="000000"/>
          <w:szCs w:val="32"/>
          <w:lang w:eastAsia="zh-CN"/>
        </w:rPr>
      </w:pPr>
    </w:p>
    <w:p w14:paraId="799B9601">
      <w:pPr>
        <w:spacing w:line="360" w:lineRule="auto"/>
        <w:ind w:firstLine="480" w:firstLineChars="200"/>
        <w:jc w:val="center"/>
        <w:rPr>
          <w:rFonts w:ascii="黑体" w:hAnsi="黑体" w:eastAsia="黑体" w:cs="黑体"/>
          <w:color w:val="000000"/>
          <w:szCs w:val="32"/>
          <w:lang w:eastAsia="zh-CN"/>
        </w:rPr>
      </w:pPr>
    </w:p>
    <w:p w14:paraId="74987D35">
      <w:pPr>
        <w:spacing w:line="360" w:lineRule="auto"/>
        <w:ind w:firstLine="480" w:firstLineChars="200"/>
        <w:jc w:val="center"/>
        <w:rPr>
          <w:rFonts w:ascii="黑体" w:hAnsi="黑体" w:eastAsia="黑体" w:cs="黑体"/>
          <w:color w:val="000000"/>
          <w:szCs w:val="32"/>
          <w:lang w:eastAsia="zh-CN"/>
        </w:rPr>
      </w:pPr>
    </w:p>
    <w:p w14:paraId="7654A8B5">
      <w:pPr>
        <w:spacing w:line="360" w:lineRule="auto"/>
        <w:ind w:firstLine="480" w:firstLineChars="200"/>
        <w:jc w:val="center"/>
        <w:rPr>
          <w:rFonts w:ascii="黑体" w:hAnsi="黑体" w:eastAsia="黑体" w:cs="黑体"/>
          <w:color w:val="000000"/>
          <w:szCs w:val="32"/>
          <w:lang w:eastAsia="zh-CN"/>
        </w:rPr>
      </w:pPr>
    </w:p>
    <w:p w14:paraId="3EA221A4">
      <w:pPr>
        <w:spacing w:line="360" w:lineRule="auto"/>
        <w:ind w:firstLine="480" w:firstLineChars="200"/>
        <w:jc w:val="center"/>
        <w:rPr>
          <w:rFonts w:ascii="黑体" w:hAnsi="黑体" w:eastAsia="黑体" w:cs="黑体"/>
          <w:color w:val="000000"/>
          <w:szCs w:val="32"/>
          <w:lang w:eastAsia="zh-CN"/>
        </w:rPr>
      </w:pPr>
    </w:p>
    <w:p w14:paraId="4724CFFE">
      <w:pPr>
        <w:spacing w:line="360" w:lineRule="auto"/>
        <w:ind w:firstLine="480" w:firstLineChars="200"/>
        <w:jc w:val="center"/>
        <w:rPr>
          <w:rFonts w:ascii="黑体" w:hAnsi="黑体" w:eastAsia="黑体" w:cs="黑体"/>
          <w:color w:val="000000"/>
          <w:szCs w:val="32"/>
          <w:lang w:eastAsia="zh-CN"/>
        </w:rPr>
      </w:pPr>
    </w:p>
    <w:p w14:paraId="3BA3D5EC">
      <w:pPr>
        <w:spacing w:line="360" w:lineRule="auto"/>
        <w:ind w:firstLine="480" w:firstLineChars="200"/>
        <w:jc w:val="center"/>
        <w:rPr>
          <w:rFonts w:ascii="黑体" w:hAnsi="黑体" w:eastAsia="黑体" w:cs="黑体"/>
          <w:color w:val="000000"/>
          <w:szCs w:val="32"/>
          <w:lang w:eastAsia="zh-CN"/>
        </w:rPr>
      </w:pPr>
    </w:p>
    <w:p w14:paraId="5A5FD4D8">
      <w:pPr>
        <w:spacing w:line="360" w:lineRule="auto"/>
        <w:ind w:firstLine="480" w:firstLineChars="200"/>
        <w:jc w:val="center"/>
        <w:rPr>
          <w:rFonts w:ascii="黑体" w:hAnsi="黑体" w:eastAsia="黑体" w:cs="黑体"/>
          <w:color w:val="000000"/>
          <w:szCs w:val="32"/>
          <w:lang w:eastAsia="zh-CN"/>
        </w:rPr>
      </w:pPr>
    </w:p>
    <w:p w14:paraId="55A747C8">
      <w:pPr>
        <w:spacing w:line="360" w:lineRule="auto"/>
        <w:ind w:firstLine="480" w:firstLineChars="200"/>
        <w:jc w:val="center"/>
        <w:rPr>
          <w:rFonts w:ascii="黑体" w:hAnsi="黑体" w:eastAsia="黑体" w:cs="黑体"/>
          <w:color w:val="000000"/>
          <w:szCs w:val="32"/>
          <w:lang w:eastAsia="zh-CN"/>
        </w:rPr>
      </w:pPr>
    </w:p>
    <w:p w14:paraId="0659BA31">
      <w:pPr>
        <w:spacing w:line="360" w:lineRule="auto"/>
        <w:ind w:firstLine="480" w:firstLineChars="200"/>
        <w:jc w:val="center"/>
        <w:rPr>
          <w:rFonts w:ascii="黑体" w:hAnsi="黑体" w:eastAsia="黑体" w:cs="黑体"/>
          <w:color w:val="000000"/>
          <w:szCs w:val="32"/>
          <w:lang w:eastAsia="zh-CN"/>
        </w:rPr>
      </w:pPr>
    </w:p>
    <w:p w14:paraId="16CFFF04">
      <w:pPr>
        <w:spacing w:line="360" w:lineRule="auto"/>
        <w:ind w:firstLine="480" w:firstLineChars="200"/>
        <w:jc w:val="center"/>
        <w:rPr>
          <w:rFonts w:ascii="黑体" w:hAnsi="黑体" w:eastAsia="黑体" w:cs="黑体"/>
          <w:color w:val="000000"/>
          <w:szCs w:val="32"/>
          <w:lang w:eastAsia="zh-CN"/>
        </w:rPr>
      </w:pPr>
    </w:p>
    <w:p w14:paraId="7E9552E6">
      <w:pPr>
        <w:spacing w:line="360" w:lineRule="auto"/>
        <w:ind w:firstLine="480" w:firstLineChars="200"/>
        <w:jc w:val="center"/>
        <w:rPr>
          <w:rFonts w:ascii="黑体" w:hAnsi="黑体" w:eastAsia="黑体" w:cs="黑体"/>
          <w:color w:val="000000"/>
          <w:szCs w:val="32"/>
          <w:lang w:eastAsia="zh-CN"/>
        </w:rPr>
      </w:pPr>
    </w:p>
    <w:p w14:paraId="5C1E20A9">
      <w:pPr>
        <w:spacing w:line="360" w:lineRule="auto"/>
        <w:ind w:firstLine="480" w:firstLineChars="200"/>
        <w:jc w:val="center"/>
        <w:rPr>
          <w:rFonts w:ascii="黑体" w:hAnsi="黑体" w:eastAsia="黑体" w:cs="黑体"/>
          <w:color w:val="000000"/>
          <w:szCs w:val="32"/>
          <w:lang w:eastAsia="zh-CN"/>
        </w:rPr>
      </w:pPr>
    </w:p>
    <w:p w14:paraId="14DF8E98">
      <w:pPr>
        <w:spacing w:line="360" w:lineRule="auto"/>
        <w:ind w:firstLine="480" w:firstLineChars="200"/>
        <w:jc w:val="center"/>
        <w:rPr>
          <w:rFonts w:ascii="黑体" w:hAnsi="黑体" w:eastAsia="黑体" w:cs="黑体"/>
          <w:color w:val="000000"/>
          <w:szCs w:val="32"/>
          <w:lang w:eastAsia="zh-CN"/>
        </w:rPr>
      </w:pPr>
    </w:p>
    <w:p w14:paraId="19DBEA4E">
      <w:pPr>
        <w:spacing w:line="360" w:lineRule="auto"/>
        <w:ind w:firstLine="480" w:firstLineChars="200"/>
        <w:jc w:val="center"/>
        <w:rPr>
          <w:rFonts w:ascii="黑体" w:hAnsi="黑体" w:eastAsia="黑体" w:cs="黑体"/>
          <w:color w:val="000000"/>
          <w:szCs w:val="32"/>
          <w:lang w:eastAsia="zh-CN"/>
        </w:rPr>
      </w:pPr>
    </w:p>
    <w:p w14:paraId="423A940C">
      <w:pPr>
        <w:spacing w:line="360" w:lineRule="auto"/>
        <w:ind w:firstLine="480"/>
        <w:jc w:val="center"/>
        <w:rPr>
          <w:rFonts w:ascii="黑体" w:hAnsi="黑体" w:eastAsia="黑体" w:cs="黑体"/>
          <w:color w:val="000000"/>
          <w:szCs w:val="32"/>
          <w:lang w:eastAsia="zh-CN"/>
        </w:rPr>
      </w:pPr>
      <w:r>
        <w:rPr>
          <w:rFonts w:hint="eastAsia" w:ascii="黑体" w:hAnsi="黑体" w:eastAsia="黑体" w:cs="黑体"/>
          <w:color w:val="000000"/>
          <w:szCs w:val="32"/>
          <w:lang w:val="en-US" w:eastAsia="zh-CN"/>
        </w:rPr>
        <w:t xml:space="preserve"> </w:t>
      </w:r>
      <w:r>
        <w:rPr>
          <w:rFonts w:hint="eastAsia" w:ascii="黑体" w:hAnsi="黑体" w:eastAsia="黑体" w:cs="黑体"/>
          <w:color w:val="000000"/>
          <w:szCs w:val="32"/>
          <w:lang w:eastAsia="zh-CN"/>
        </w:rPr>
        <w:t>附录</w:t>
      </w:r>
      <w:r>
        <w:rPr>
          <w:rFonts w:ascii="黑体" w:hAnsi="黑体" w:eastAsia="黑体" w:cs="黑体"/>
          <w:color w:val="000000"/>
          <w:szCs w:val="32"/>
          <w:lang w:eastAsia="zh-CN"/>
        </w:rPr>
        <w:t>C</w:t>
      </w:r>
    </w:p>
    <w:p w14:paraId="2437654F">
      <w:pPr>
        <w:spacing w:line="360" w:lineRule="auto"/>
        <w:ind w:firstLine="480"/>
        <w:jc w:val="center"/>
        <w:rPr>
          <w:rFonts w:eastAsia="黑体"/>
          <w:color w:val="000000"/>
          <w:szCs w:val="32"/>
          <w:lang w:eastAsia="zh-CN"/>
        </w:rPr>
      </w:pPr>
      <w:r>
        <w:rPr>
          <w:rFonts w:hint="eastAsia" w:eastAsia="黑体"/>
          <w:color w:val="000000"/>
          <w:szCs w:val="32"/>
          <w:lang w:val="en-US" w:eastAsia="zh-CN"/>
        </w:rPr>
        <w:t xml:space="preserve"> </w:t>
      </w:r>
      <w:r>
        <w:rPr>
          <w:rFonts w:eastAsia="黑体"/>
          <w:color w:val="000000"/>
          <w:szCs w:val="32"/>
          <w:lang w:eastAsia="zh-CN"/>
        </w:rPr>
        <w:t>（资料性附录）</w:t>
      </w:r>
    </w:p>
    <w:p w14:paraId="33C144FF">
      <w:pPr>
        <w:spacing w:line="360" w:lineRule="auto"/>
        <w:ind w:firstLine="640"/>
        <w:jc w:val="center"/>
        <w:rPr>
          <w:rFonts w:ascii="黑体" w:hAnsi="黑体" w:eastAsia="黑体" w:cs="黑体"/>
          <w:color w:val="000000"/>
          <w:sz w:val="32"/>
          <w:szCs w:val="40"/>
          <w:lang w:eastAsia="zh-CN"/>
        </w:rPr>
      </w:pPr>
      <w:r>
        <w:rPr>
          <w:rFonts w:hint="eastAsia" w:ascii="黑体" w:hAnsi="黑体" w:eastAsia="黑体" w:cs="黑体"/>
          <w:color w:val="000000"/>
          <w:sz w:val="32"/>
          <w:szCs w:val="40"/>
          <w:lang w:eastAsia="zh-CN"/>
        </w:rPr>
        <w:t>血液样品制备</w:t>
      </w:r>
    </w:p>
    <w:p w14:paraId="72976533">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C.1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血液采集</w:t>
      </w:r>
    </w:p>
    <w:p w14:paraId="7B9F56FA">
      <w:pPr>
        <w:spacing w:line="360" w:lineRule="auto"/>
        <w:ind w:firstLine="420" w:firstLineChars="200"/>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将大鼠麻醉，仰卧位放置于解剖盘上，提起下腹部皮肤，皮肤和腹壁同时作V字状切开。分离腹主动脉，将动脉的近心端用动脉夹夹闭，远心端用止血钳夹闭。</w:t>
      </w:r>
    </w:p>
    <w:p w14:paraId="4AD124F6">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C.1.1 全血样品的采集</w:t>
      </w:r>
    </w:p>
    <w:p w14:paraId="657578B2">
      <w:pPr>
        <w:spacing w:line="360" w:lineRule="auto"/>
        <w:ind w:firstLine="420" w:firstLineChars="200"/>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采用10% EDTA K2抗凝（抗凝剂：血液=1:49），腹主动脉中抽取动脉血，轻轻混匀后，将样品放入4℃的冰箱或冰上保存，用于血气分析指标检测。</w:t>
      </w:r>
    </w:p>
    <w:p w14:paraId="5B7A7867">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C.1.2 血浆样品的采集</w:t>
      </w:r>
    </w:p>
    <w:p w14:paraId="284B7B0E">
      <w:pPr>
        <w:spacing w:line="360" w:lineRule="auto"/>
        <w:ind w:firstLine="420" w:firstLineChars="200"/>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采用3.8%柠檬酸三钠抗凝（抗凝剂：血液=1:9），腹主动脉采血。轻轻混匀后，将样品放入4℃的冰箱或冰上保存。3000 rpm离心10 min，分离血浆，用于凝血指标测定。</w:t>
      </w:r>
    </w:p>
    <w:p w14:paraId="40EE7638">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C.1.3 血清样品的采集</w:t>
      </w:r>
    </w:p>
    <w:p w14:paraId="0C025CC2">
      <w:pPr>
        <w:spacing w:line="360" w:lineRule="auto"/>
        <w:ind w:firstLine="420" w:firstLineChars="200"/>
        <w:jc w:val="both"/>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动物麻醉，使用注射器从腹主动脉中抽取动脉血，注入采血管中。静置数分钟后， 3000 rpm离心15 min，分离血清并分装，加盖，帖好标签。根据试验的要求和检测时间的不同，可将血清置4℃、-20℃、-40℃或-80℃的冰箱中保存。用血液相关因子、蛋白指标的测定。</w:t>
      </w:r>
    </w:p>
    <w:p w14:paraId="2C542A28">
      <w:pPr>
        <w:spacing w:line="360" w:lineRule="auto"/>
        <w:ind w:firstLine="480" w:firstLineChars="200"/>
        <w:jc w:val="both"/>
        <w:rPr>
          <w:rFonts w:hint="default" w:ascii="Times New Roman" w:hAnsi="Times New Roman" w:eastAsia="宋体" w:cs="Times New Roman"/>
          <w:color w:val="000000"/>
          <w:szCs w:val="32"/>
          <w:lang w:eastAsia="zh-CN"/>
        </w:rPr>
      </w:pPr>
    </w:p>
    <w:p w14:paraId="6F22E1BA">
      <w:pPr>
        <w:spacing w:line="360" w:lineRule="auto"/>
        <w:ind w:firstLine="480" w:firstLineChars="200"/>
        <w:jc w:val="both"/>
        <w:rPr>
          <w:rFonts w:ascii="黑体" w:hAnsi="黑体" w:eastAsia="黑体" w:cs="黑体"/>
          <w:color w:val="000000"/>
          <w:szCs w:val="32"/>
          <w:lang w:eastAsia="zh-CN"/>
        </w:rPr>
      </w:pPr>
    </w:p>
    <w:p w14:paraId="66ADA38B">
      <w:pPr>
        <w:spacing w:line="360" w:lineRule="auto"/>
        <w:ind w:firstLine="480" w:firstLineChars="200"/>
        <w:jc w:val="both"/>
        <w:rPr>
          <w:rFonts w:ascii="黑体" w:hAnsi="黑体" w:eastAsia="黑体" w:cs="黑体"/>
          <w:color w:val="000000"/>
          <w:szCs w:val="32"/>
          <w:lang w:eastAsia="zh-CN"/>
        </w:rPr>
      </w:pPr>
    </w:p>
    <w:p w14:paraId="7FF6ADDA">
      <w:pPr>
        <w:spacing w:line="360" w:lineRule="auto"/>
        <w:ind w:firstLine="480" w:firstLineChars="200"/>
        <w:jc w:val="both"/>
        <w:rPr>
          <w:rFonts w:ascii="黑体" w:hAnsi="黑体" w:eastAsia="黑体" w:cs="黑体"/>
          <w:color w:val="000000"/>
          <w:szCs w:val="32"/>
          <w:lang w:eastAsia="zh-CN"/>
        </w:rPr>
      </w:pPr>
    </w:p>
    <w:p w14:paraId="647C22E8">
      <w:pPr>
        <w:spacing w:line="360" w:lineRule="auto"/>
        <w:ind w:firstLine="480" w:firstLineChars="200"/>
        <w:jc w:val="both"/>
        <w:rPr>
          <w:rFonts w:ascii="黑体" w:hAnsi="黑体" w:eastAsia="黑体" w:cs="黑体"/>
          <w:color w:val="000000"/>
          <w:szCs w:val="32"/>
          <w:lang w:eastAsia="zh-CN"/>
        </w:rPr>
      </w:pPr>
    </w:p>
    <w:p w14:paraId="1021E30F">
      <w:pPr>
        <w:spacing w:line="360" w:lineRule="auto"/>
        <w:ind w:firstLine="480" w:firstLineChars="200"/>
        <w:jc w:val="both"/>
        <w:rPr>
          <w:rFonts w:ascii="黑体" w:hAnsi="黑体" w:eastAsia="黑体" w:cs="黑体"/>
          <w:color w:val="000000"/>
          <w:szCs w:val="32"/>
          <w:lang w:eastAsia="zh-CN"/>
        </w:rPr>
      </w:pPr>
    </w:p>
    <w:p w14:paraId="1630BB02">
      <w:pPr>
        <w:spacing w:line="360" w:lineRule="auto"/>
        <w:ind w:firstLine="480" w:firstLineChars="200"/>
        <w:jc w:val="center"/>
        <w:rPr>
          <w:rFonts w:ascii="黑体" w:hAnsi="黑体" w:eastAsia="黑体" w:cs="黑体"/>
          <w:color w:val="000000"/>
          <w:szCs w:val="32"/>
          <w:lang w:eastAsia="zh-CN"/>
        </w:rPr>
      </w:pPr>
    </w:p>
    <w:p w14:paraId="3F21E5B6">
      <w:pPr>
        <w:spacing w:line="360" w:lineRule="auto"/>
        <w:ind w:firstLine="480" w:firstLineChars="200"/>
        <w:jc w:val="center"/>
        <w:rPr>
          <w:rFonts w:ascii="黑体" w:hAnsi="黑体" w:eastAsia="黑体" w:cs="黑体"/>
          <w:color w:val="000000"/>
          <w:szCs w:val="32"/>
          <w:lang w:eastAsia="zh-CN"/>
        </w:rPr>
      </w:pPr>
    </w:p>
    <w:p w14:paraId="01445D05">
      <w:pPr>
        <w:spacing w:line="360" w:lineRule="auto"/>
        <w:ind w:firstLine="480" w:firstLineChars="200"/>
        <w:jc w:val="center"/>
        <w:rPr>
          <w:rFonts w:ascii="黑体" w:hAnsi="黑体" w:eastAsia="黑体" w:cs="黑体"/>
          <w:color w:val="000000"/>
          <w:szCs w:val="32"/>
          <w:lang w:eastAsia="zh-CN"/>
        </w:rPr>
      </w:pPr>
    </w:p>
    <w:p w14:paraId="1C856053">
      <w:pPr>
        <w:spacing w:line="360" w:lineRule="auto"/>
        <w:ind w:firstLine="480" w:firstLineChars="200"/>
        <w:jc w:val="center"/>
        <w:rPr>
          <w:rFonts w:ascii="黑体" w:hAnsi="黑体" w:eastAsia="黑体" w:cs="黑体"/>
          <w:color w:val="000000"/>
          <w:szCs w:val="32"/>
          <w:lang w:eastAsia="zh-CN"/>
        </w:rPr>
      </w:pPr>
    </w:p>
    <w:p w14:paraId="278E4222">
      <w:pPr>
        <w:spacing w:line="360" w:lineRule="auto"/>
        <w:ind w:firstLine="480" w:firstLineChars="200"/>
        <w:jc w:val="center"/>
        <w:rPr>
          <w:rFonts w:ascii="黑体" w:hAnsi="黑体" w:eastAsia="黑体" w:cs="黑体"/>
          <w:color w:val="000000"/>
          <w:szCs w:val="32"/>
          <w:lang w:eastAsia="zh-CN"/>
        </w:rPr>
      </w:pPr>
    </w:p>
    <w:p w14:paraId="3A16889B">
      <w:pPr>
        <w:spacing w:line="360" w:lineRule="auto"/>
        <w:ind w:firstLine="480" w:firstLineChars="200"/>
        <w:jc w:val="center"/>
        <w:rPr>
          <w:rFonts w:ascii="黑体" w:hAnsi="黑体" w:eastAsia="黑体" w:cs="黑体"/>
          <w:color w:val="000000"/>
          <w:szCs w:val="32"/>
          <w:lang w:eastAsia="zh-CN"/>
        </w:rPr>
      </w:pPr>
    </w:p>
    <w:p w14:paraId="024ED07E">
      <w:pPr>
        <w:spacing w:line="360" w:lineRule="auto"/>
        <w:ind w:firstLine="480" w:firstLineChars="200"/>
        <w:jc w:val="center"/>
        <w:rPr>
          <w:rFonts w:ascii="黑体" w:hAnsi="黑体" w:eastAsia="黑体" w:cs="黑体"/>
          <w:color w:val="000000"/>
          <w:szCs w:val="32"/>
          <w:lang w:eastAsia="zh-CN"/>
        </w:rPr>
      </w:pPr>
    </w:p>
    <w:p w14:paraId="10C7C52F">
      <w:pPr>
        <w:spacing w:line="360" w:lineRule="auto"/>
        <w:ind w:firstLine="480"/>
        <w:jc w:val="center"/>
        <w:rPr>
          <w:rFonts w:ascii="黑体" w:hAnsi="黑体" w:eastAsia="黑体" w:cs="黑体"/>
          <w:color w:val="000000"/>
          <w:szCs w:val="32"/>
          <w:lang w:eastAsia="zh-CN"/>
        </w:rPr>
      </w:pPr>
      <w:r>
        <w:rPr>
          <w:rFonts w:hint="eastAsia" w:ascii="黑体" w:hAnsi="黑体" w:eastAsia="黑体" w:cs="黑体"/>
          <w:color w:val="000000"/>
          <w:szCs w:val="32"/>
          <w:lang w:eastAsia="zh-CN"/>
        </w:rPr>
        <w:t>附录</w:t>
      </w:r>
      <w:r>
        <w:rPr>
          <w:rFonts w:ascii="黑体" w:hAnsi="黑体" w:eastAsia="黑体" w:cs="黑体"/>
          <w:color w:val="000000"/>
          <w:szCs w:val="32"/>
          <w:lang w:eastAsia="zh-CN"/>
        </w:rPr>
        <w:t>D</w:t>
      </w:r>
    </w:p>
    <w:p w14:paraId="09C54F31">
      <w:pPr>
        <w:spacing w:line="360" w:lineRule="auto"/>
        <w:ind w:firstLine="480"/>
        <w:jc w:val="center"/>
        <w:rPr>
          <w:rFonts w:eastAsia="黑体"/>
          <w:color w:val="000000"/>
          <w:szCs w:val="32"/>
          <w:lang w:eastAsia="zh-CN"/>
        </w:rPr>
      </w:pPr>
      <w:r>
        <w:rPr>
          <w:rFonts w:eastAsia="黑体"/>
          <w:color w:val="000000"/>
          <w:szCs w:val="32"/>
          <w:lang w:eastAsia="zh-CN"/>
        </w:rPr>
        <w:t>（资料性附录）</w:t>
      </w:r>
    </w:p>
    <w:p w14:paraId="42DB02D1">
      <w:pPr>
        <w:spacing w:line="360" w:lineRule="auto"/>
        <w:ind w:firstLine="640"/>
        <w:jc w:val="center"/>
        <w:rPr>
          <w:rFonts w:eastAsia="黑体"/>
          <w:color w:val="000000"/>
          <w:sz w:val="28"/>
          <w:szCs w:val="28"/>
          <w:lang w:eastAsia="zh-CN"/>
        </w:rPr>
      </w:pPr>
      <w:r>
        <w:rPr>
          <w:rFonts w:hint="eastAsia" w:ascii="黑体" w:hAnsi="黑体" w:eastAsia="黑体" w:cs="黑体"/>
          <w:color w:val="000000"/>
          <w:sz w:val="32"/>
          <w:szCs w:val="40"/>
          <w:lang w:eastAsia="zh-CN"/>
        </w:rPr>
        <w:t>动物解剖及脏器摘取、肺系数计算、病理组织的制备</w:t>
      </w:r>
    </w:p>
    <w:p w14:paraId="043C7EB6">
      <w:pPr>
        <w:spacing w:line="360" w:lineRule="auto"/>
        <w:jc w:val="both"/>
        <w:rPr>
          <w:rFonts w:ascii="黑体" w:hAnsi="黑体" w:eastAsia="黑体"/>
          <w:color w:val="000000"/>
          <w:sz w:val="21"/>
          <w:lang w:eastAsia="zh-CN"/>
        </w:rPr>
      </w:pPr>
      <w:r>
        <w:rPr>
          <w:rFonts w:hint="eastAsia" w:ascii="黑体" w:hAnsi="黑体" w:eastAsia="黑体"/>
          <w:color w:val="000000"/>
          <w:sz w:val="21"/>
          <w:lang w:eastAsia="zh-CN"/>
        </w:rPr>
        <w:t>D</w:t>
      </w:r>
      <w:r>
        <w:rPr>
          <w:rFonts w:ascii="黑体" w:hAnsi="黑体" w:eastAsia="黑体"/>
          <w:color w:val="000000"/>
          <w:sz w:val="21"/>
          <w:lang w:eastAsia="zh-CN"/>
        </w:rPr>
        <w:t xml:space="preserve">.1 </w:t>
      </w:r>
      <w:r>
        <w:rPr>
          <w:rFonts w:hint="eastAsia" w:ascii="黑体" w:hAnsi="黑体" w:eastAsia="黑体"/>
          <w:color w:val="000000"/>
          <w:sz w:val="21"/>
          <w:lang w:eastAsia="zh-CN"/>
        </w:rPr>
        <w:t>动物解剖及脏器摘取</w:t>
      </w:r>
    </w:p>
    <w:p w14:paraId="00A72E18">
      <w:pPr>
        <w:spacing w:line="360" w:lineRule="auto"/>
        <w:ind w:firstLine="420" w:firstLineChars="200"/>
        <w:jc w:val="both"/>
        <w:rPr>
          <w:sz w:val="21"/>
          <w:lang w:eastAsia="zh-CN"/>
        </w:rPr>
      </w:pPr>
      <w:r>
        <w:rPr>
          <w:rFonts w:hint="eastAsia"/>
          <w:sz w:val="21"/>
          <w:lang w:eastAsia="zh-CN"/>
        </w:rPr>
        <w:t>将大鼠麻醉后，仰卧放在解剖台上，剪开腹壁，暴露腹主动脉，用带有16号针头的注射器抽血，采血结束后，放血处死动物，解剖并摘出实验所需脏器，进行肉眼检查并记录有异常的脏器情况。将脏器放入</w:t>
      </w:r>
      <w:r>
        <w:rPr>
          <w:sz w:val="21"/>
          <w:lang w:eastAsia="zh-CN"/>
        </w:rPr>
        <w:t>10</w:t>
      </w:r>
      <w:r>
        <w:rPr>
          <w:rFonts w:hint="eastAsia"/>
          <w:sz w:val="21"/>
          <w:lang w:eastAsia="zh-CN"/>
        </w:rPr>
        <w:t>%福尔马林组织固定液溶液中固定，按照病理学检查程序进行病理学检查。</w:t>
      </w:r>
    </w:p>
    <w:p w14:paraId="29631BA5">
      <w:pPr>
        <w:spacing w:line="360" w:lineRule="auto"/>
        <w:jc w:val="both"/>
        <w:rPr>
          <w:rFonts w:ascii="黑体" w:hAnsi="黑体" w:eastAsia="黑体"/>
          <w:color w:val="000000"/>
          <w:sz w:val="21"/>
          <w:lang w:eastAsia="zh-CN"/>
        </w:rPr>
      </w:pPr>
      <w:r>
        <w:rPr>
          <w:rFonts w:ascii="黑体" w:hAnsi="黑体" w:eastAsia="黑体"/>
          <w:color w:val="000000"/>
          <w:sz w:val="21"/>
          <w:lang w:eastAsia="zh-CN"/>
        </w:rPr>
        <w:t xml:space="preserve">D.2 </w:t>
      </w:r>
      <w:r>
        <w:rPr>
          <w:rFonts w:hint="eastAsia" w:ascii="黑体" w:hAnsi="黑体" w:eastAsia="黑体"/>
          <w:color w:val="000000"/>
          <w:sz w:val="21"/>
          <w:lang w:eastAsia="zh-CN"/>
        </w:rPr>
        <w:t>注意事项</w:t>
      </w:r>
    </w:p>
    <w:p w14:paraId="17A9205A">
      <w:pPr>
        <w:spacing w:line="360" w:lineRule="auto"/>
        <w:jc w:val="both"/>
        <w:rPr>
          <w:rFonts w:hint="default" w:ascii="Times New Roman" w:hAnsi="Times New Roman" w:eastAsia="宋体" w:cs="Times New Roman"/>
          <w:sz w:val="21"/>
          <w:lang w:eastAsia="zh-CN"/>
        </w:rPr>
      </w:pPr>
      <w:r>
        <w:rPr>
          <w:rFonts w:hint="default" w:ascii="Times New Roman" w:hAnsi="Times New Roman" w:eastAsia="宋体" w:cs="Times New Roman"/>
          <w:color w:val="000000"/>
          <w:sz w:val="21"/>
          <w:lang w:eastAsia="zh-CN"/>
        </w:rPr>
        <w:t>D.2.1</w:t>
      </w:r>
      <w:r>
        <w:rPr>
          <w:rFonts w:hint="default" w:ascii="Times New Roman" w:hAnsi="Times New Roman" w:eastAsia="宋体" w:cs="Times New Roman"/>
          <w:sz w:val="21"/>
          <w:lang w:eastAsia="zh-CN"/>
        </w:rPr>
        <w:t xml:space="preserve"> 解剖前实验动物禁食16-20 h，不禁水。</w:t>
      </w:r>
    </w:p>
    <w:p w14:paraId="245B7AD6">
      <w:pPr>
        <w:spacing w:line="360" w:lineRule="auto"/>
        <w:jc w:val="both"/>
        <w:rPr>
          <w:rFonts w:hint="default" w:ascii="Times New Roman" w:hAnsi="Times New Roman" w:eastAsia="宋体" w:cs="Times New Roman"/>
          <w:b/>
          <w:sz w:val="21"/>
          <w:lang w:eastAsia="zh-CN"/>
        </w:rPr>
      </w:pPr>
      <w:r>
        <w:rPr>
          <w:rFonts w:hint="default" w:ascii="Times New Roman" w:hAnsi="Times New Roman" w:eastAsia="宋体" w:cs="Times New Roman"/>
          <w:color w:val="000000"/>
          <w:sz w:val="21"/>
          <w:lang w:eastAsia="zh-CN"/>
        </w:rPr>
        <w:t>D.2.2</w:t>
      </w:r>
      <w:r>
        <w:rPr>
          <w:rFonts w:hint="default" w:ascii="Times New Roman" w:hAnsi="Times New Roman" w:eastAsia="宋体" w:cs="Times New Roman"/>
          <w:b/>
          <w:sz w:val="21"/>
          <w:lang w:eastAsia="zh-CN"/>
        </w:rPr>
        <w:t xml:space="preserve"> </w:t>
      </w:r>
      <w:r>
        <w:rPr>
          <w:rFonts w:hint="default" w:ascii="Times New Roman" w:hAnsi="Times New Roman" w:eastAsia="宋体" w:cs="Times New Roman"/>
          <w:sz w:val="21"/>
          <w:lang w:eastAsia="zh-CN"/>
        </w:rPr>
        <w:t>脏器应及时放入10%福尔马林组织固定液</w:t>
      </w:r>
      <w:r>
        <w:rPr>
          <w:rFonts w:hint="default" w:ascii="Times New Roman" w:hAnsi="Times New Roman" w:eastAsia="宋体" w:cs="Times New Roman"/>
          <w:bCs/>
          <w:sz w:val="21"/>
          <w:lang w:eastAsia="zh-CN"/>
        </w:rPr>
        <w:t>中固定。</w:t>
      </w:r>
    </w:p>
    <w:p w14:paraId="68867A40">
      <w:pPr>
        <w:spacing w:line="360" w:lineRule="auto"/>
        <w:jc w:val="both"/>
        <w:rPr>
          <w:rFonts w:hint="default" w:ascii="Times New Roman" w:hAnsi="Times New Roman" w:eastAsia="宋体" w:cs="Times New Roman"/>
          <w:bCs/>
          <w:sz w:val="21"/>
          <w:lang w:eastAsia="zh-CN"/>
        </w:rPr>
      </w:pPr>
      <w:r>
        <w:rPr>
          <w:rFonts w:hint="default" w:ascii="Times New Roman" w:hAnsi="Times New Roman" w:eastAsia="宋体" w:cs="Times New Roman"/>
          <w:color w:val="000000"/>
          <w:sz w:val="21"/>
          <w:lang w:eastAsia="zh-CN"/>
        </w:rPr>
        <w:t xml:space="preserve">D.2.3 </w:t>
      </w:r>
      <w:r>
        <w:rPr>
          <w:rFonts w:hint="default" w:ascii="Times New Roman" w:hAnsi="Times New Roman" w:eastAsia="宋体" w:cs="Times New Roman"/>
          <w:sz w:val="21"/>
          <w:lang w:eastAsia="zh-CN"/>
        </w:rPr>
        <w:t>10 %福尔马林组织固定液</w:t>
      </w:r>
      <w:r>
        <w:rPr>
          <w:rFonts w:hint="default" w:ascii="Times New Roman" w:hAnsi="Times New Roman" w:eastAsia="宋体" w:cs="Times New Roman"/>
          <w:bCs/>
          <w:sz w:val="21"/>
          <w:lang w:eastAsia="zh-CN"/>
        </w:rPr>
        <w:t>用量应大于脏器体积的2倍。</w:t>
      </w:r>
    </w:p>
    <w:p w14:paraId="6BB9B999">
      <w:pPr>
        <w:spacing w:line="360" w:lineRule="auto"/>
        <w:jc w:val="both"/>
        <w:rPr>
          <w:rFonts w:ascii="黑体" w:hAnsi="黑体" w:eastAsia="黑体"/>
          <w:color w:val="000000"/>
          <w:sz w:val="21"/>
          <w:lang w:eastAsia="zh-CN"/>
        </w:rPr>
      </w:pPr>
      <w:r>
        <w:rPr>
          <w:rFonts w:ascii="黑体" w:hAnsi="黑体" w:eastAsia="黑体"/>
          <w:color w:val="000000"/>
          <w:sz w:val="21"/>
          <w:lang w:eastAsia="zh-CN"/>
        </w:rPr>
        <w:t>D.3</w:t>
      </w:r>
      <w:r>
        <w:rPr>
          <w:rFonts w:hint="eastAsia" w:ascii="黑体" w:hAnsi="黑体" w:eastAsia="黑体"/>
          <w:color w:val="000000"/>
          <w:sz w:val="21"/>
          <w:lang w:val="en-US" w:eastAsia="zh-CN"/>
        </w:rPr>
        <w:t xml:space="preserve"> </w:t>
      </w:r>
      <w:r>
        <w:rPr>
          <w:rFonts w:hint="eastAsia" w:ascii="黑体" w:hAnsi="黑体" w:eastAsia="黑体"/>
          <w:color w:val="000000"/>
          <w:sz w:val="21"/>
          <w:lang w:eastAsia="zh-CN"/>
        </w:rPr>
        <w:t>肺系数计算</w:t>
      </w:r>
    </w:p>
    <w:p w14:paraId="6C32196D">
      <w:pPr>
        <w:spacing w:line="360" w:lineRule="auto"/>
        <w:ind w:firstLine="420" w:firstLineChars="200"/>
        <w:jc w:val="both"/>
        <w:rPr>
          <w:sz w:val="21"/>
          <w:lang w:eastAsia="zh-CN"/>
        </w:rPr>
      </w:pPr>
      <w:r>
        <w:rPr>
          <w:rFonts w:hint="eastAsia"/>
          <w:sz w:val="21"/>
          <w:lang w:eastAsia="zh-CN"/>
        </w:rPr>
        <w:t>摘取肺脏，滤纸吸净肺组织表面血液，按照每只动物的体质量，折算脏器的相对重量，即脏器系数(脏器重量/100</w:t>
      </w:r>
      <w:r>
        <w:rPr>
          <w:sz w:val="21"/>
          <w:lang w:eastAsia="zh-CN"/>
        </w:rPr>
        <w:t xml:space="preserve"> </w:t>
      </w:r>
      <w:r>
        <w:rPr>
          <w:rFonts w:hint="eastAsia"/>
          <w:sz w:val="21"/>
          <w:lang w:eastAsia="zh-CN"/>
        </w:rPr>
        <w:t>g体质量)。</w:t>
      </w:r>
    </w:p>
    <w:p w14:paraId="61CD0000">
      <w:pPr>
        <w:spacing w:line="360" w:lineRule="auto"/>
        <w:jc w:val="both"/>
        <w:rPr>
          <w:rFonts w:ascii="黑体" w:hAnsi="黑体" w:eastAsia="黑体"/>
          <w:color w:val="000000"/>
          <w:sz w:val="21"/>
          <w:lang w:eastAsia="zh-CN"/>
        </w:rPr>
      </w:pPr>
      <w:r>
        <w:rPr>
          <w:rFonts w:ascii="黑体" w:hAnsi="黑体" w:eastAsia="黑体"/>
          <w:color w:val="000000"/>
          <w:sz w:val="21"/>
          <w:lang w:eastAsia="zh-CN"/>
        </w:rPr>
        <w:t>D.4</w:t>
      </w:r>
      <w:r>
        <w:rPr>
          <w:rFonts w:hint="eastAsia" w:ascii="黑体" w:hAnsi="黑体" w:eastAsia="黑体"/>
          <w:color w:val="000000"/>
          <w:sz w:val="21"/>
          <w:lang w:val="en-US" w:eastAsia="zh-CN"/>
        </w:rPr>
        <w:t xml:space="preserve"> </w:t>
      </w:r>
      <w:r>
        <w:rPr>
          <w:rFonts w:hint="eastAsia" w:ascii="黑体" w:hAnsi="黑体" w:eastAsia="黑体"/>
          <w:color w:val="000000"/>
          <w:sz w:val="21"/>
          <w:lang w:eastAsia="zh-CN"/>
        </w:rPr>
        <w:t>注意事项</w:t>
      </w:r>
    </w:p>
    <w:p w14:paraId="327062B7">
      <w:pPr>
        <w:spacing w:line="360" w:lineRule="auto"/>
        <w:ind w:firstLine="420" w:firstLineChars="200"/>
        <w:jc w:val="both"/>
        <w:rPr>
          <w:sz w:val="21"/>
          <w:lang w:eastAsia="zh-CN"/>
        </w:rPr>
      </w:pPr>
      <w:r>
        <w:rPr>
          <w:rFonts w:hint="eastAsia"/>
          <w:sz w:val="21"/>
          <w:lang w:eastAsia="zh-CN"/>
        </w:rPr>
        <w:t>称量过程中要轻轻夹取脏器，避免造成机械损伤影响病理检查。</w:t>
      </w:r>
    </w:p>
    <w:p w14:paraId="19D40DD6">
      <w:pPr>
        <w:spacing w:line="360" w:lineRule="auto"/>
        <w:jc w:val="both"/>
        <w:rPr>
          <w:rFonts w:ascii="黑体" w:hAnsi="黑体" w:eastAsia="黑体"/>
          <w:color w:val="000000"/>
          <w:sz w:val="21"/>
          <w:lang w:eastAsia="zh-CN"/>
        </w:rPr>
      </w:pPr>
      <w:r>
        <w:rPr>
          <w:rFonts w:hint="eastAsia" w:ascii="黑体" w:hAnsi="黑体" w:eastAsia="黑体"/>
          <w:color w:val="000000"/>
          <w:sz w:val="21"/>
          <w:lang w:eastAsia="zh-CN"/>
        </w:rPr>
        <w:t>D</w:t>
      </w:r>
      <w:r>
        <w:rPr>
          <w:rFonts w:ascii="黑体" w:hAnsi="黑体" w:eastAsia="黑体"/>
          <w:color w:val="000000"/>
          <w:sz w:val="21"/>
          <w:lang w:eastAsia="zh-CN"/>
        </w:rPr>
        <w:t xml:space="preserve">.5 </w:t>
      </w:r>
      <w:r>
        <w:rPr>
          <w:rFonts w:hint="eastAsia" w:ascii="黑体" w:hAnsi="黑体" w:eastAsia="黑体"/>
          <w:color w:val="000000"/>
          <w:sz w:val="21"/>
          <w:lang w:eastAsia="zh-CN"/>
        </w:rPr>
        <w:t>病理学检查</w:t>
      </w:r>
    </w:p>
    <w:p w14:paraId="10BD65E3">
      <w:pPr>
        <w:spacing w:line="360" w:lineRule="auto"/>
        <w:ind w:firstLine="420" w:firstLineChars="200"/>
        <w:jc w:val="both"/>
        <w:rPr>
          <w:sz w:val="21"/>
          <w:lang w:eastAsia="zh-CN"/>
        </w:rPr>
      </w:pPr>
      <w:bookmarkStart w:id="19" w:name="_Hlk153873773"/>
      <w:r>
        <w:rPr>
          <w:rFonts w:hint="eastAsia"/>
          <w:sz w:val="21"/>
          <w:lang w:eastAsia="zh-CN"/>
        </w:rPr>
        <w:t>解剖摘取的脏器用</w:t>
      </w:r>
      <w:r>
        <w:rPr>
          <w:sz w:val="21"/>
          <w:lang w:eastAsia="zh-CN"/>
        </w:rPr>
        <w:t>10%</w:t>
      </w:r>
      <w:r>
        <w:rPr>
          <w:rFonts w:hint="eastAsia"/>
          <w:sz w:val="21"/>
          <w:lang w:eastAsia="zh-CN"/>
        </w:rPr>
        <w:t>福尔马林组织固定液固定、保存。病理制片时，将固定后的组织经修块取材，逐级酒精脱水，石蜡包埋，切片染色（H</w:t>
      </w:r>
      <w:r>
        <w:rPr>
          <w:sz w:val="21"/>
          <w:lang w:eastAsia="zh-CN"/>
        </w:rPr>
        <w:t>E</w:t>
      </w:r>
      <w:r>
        <w:rPr>
          <w:rFonts w:hint="eastAsia"/>
          <w:sz w:val="21"/>
          <w:lang w:eastAsia="zh-CN"/>
        </w:rPr>
        <w:t>、Masson染色法），在光镜下进行检查。如在检查的过程中某些组织器官需用其它方法染色，则进行特殊的染色。</w:t>
      </w:r>
    </w:p>
    <w:bookmarkEnd w:id="19"/>
    <w:p w14:paraId="488F3552">
      <w:pPr>
        <w:spacing w:line="360" w:lineRule="auto"/>
        <w:ind w:firstLine="480"/>
        <w:rPr>
          <w:rFonts w:eastAsia="黑体"/>
          <w:color w:val="000000"/>
          <w:szCs w:val="32"/>
          <w:lang w:eastAsia="zh-CN"/>
        </w:rPr>
      </w:pPr>
    </w:p>
    <w:p w14:paraId="15172DFD">
      <w:pPr>
        <w:spacing w:line="360" w:lineRule="auto"/>
        <w:ind w:firstLine="640" w:firstLineChars="200"/>
        <w:jc w:val="center"/>
        <w:rPr>
          <w:rFonts w:eastAsia="黑体"/>
          <w:color w:val="000000"/>
          <w:sz w:val="32"/>
          <w:szCs w:val="40"/>
          <w:lang w:eastAsia="zh-CN"/>
        </w:rPr>
      </w:pPr>
    </w:p>
    <w:p w14:paraId="12F31729">
      <w:pPr>
        <w:spacing w:line="360" w:lineRule="auto"/>
        <w:ind w:firstLine="640" w:firstLineChars="200"/>
        <w:jc w:val="center"/>
        <w:rPr>
          <w:rFonts w:eastAsia="黑体"/>
          <w:color w:val="000000"/>
          <w:sz w:val="32"/>
          <w:szCs w:val="40"/>
          <w:lang w:eastAsia="zh-CN"/>
        </w:rPr>
      </w:pPr>
    </w:p>
    <w:p w14:paraId="0EB92DEC">
      <w:pPr>
        <w:spacing w:line="360" w:lineRule="auto"/>
        <w:ind w:firstLine="640" w:firstLineChars="200"/>
        <w:jc w:val="center"/>
        <w:rPr>
          <w:rFonts w:eastAsia="黑体"/>
          <w:color w:val="000000"/>
          <w:sz w:val="32"/>
          <w:szCs w:val="40"/>
          <w:lang w:eastAsia="zh-CN"/>
        </w:rPr>
      </w:pPr>
    </w:p>
    <w:p w14:paraId="1DEBE2C6">
      <w:pPr>
        <w:spacing w:line="360" w:lineRule="auto"/>
        <w:ind w:firstLine="640" w:firstLineChars="200"/>
        <w:jc w:val="center"/>
        <w:rPr>
          <w:rFonts w:eastAsia="黑体"/>
          <w:color w:val="000000"/>
          <w:sz w:val="32"/>
          <w:szCs w:val="40"/>
          <w:lang w:eastAsia="zh-CN"/>
        </w:rPr>
      </w:pPr>
    </w:p>
    <w:p w14:paraId="0AF12EE9">
      <w:pPr>
        <w:spacing w:line="360" w:lineRule="auto"/>
        <w:ind w:firstLine="640" w:firstLineChars="200"/>
        <w:jc w:val="center"/>
        <w:rPr>
          <w:rFonts w:eastAsia="黑体"/>
          <w:color w:val="000000"/>
          <w:sz w:val="32"/>
          <w:szCs w:val="40"/>
          <w:lang w:eastAsia="zh-CN"/>
        </w:rPr>
      </w:pPr>
    </w:p>
    <w:p w14:paraId="70096DF1">
      <w:pPr>
        <w:spacing w:line="360" w:lineRule="auto"/>
        <w:ind w:firstLine="480"/>
        <w:jc w:val="center"/>
        <w:rPr>
          <w:rFonts w:ascii="黑体" w:hAnsi="黑体" w:eastAsia="黑体" w:cs="黑体"/>
          <w:color w:val="000000"/>
          <w:szCs w:val="32"/>
          <w:lang w:eastAsia="zh-CN"/>
        </w:rPr>
      </w:pPr>
      <w:r>
        <w:rPr>
          <w:rFonts w:hint="eastAsia" w:ascii="黑体" w:hAnsi="黑体" w:eastAsia="黑体" w:cs="黑体"/>
          <w:color w:val="000000"/>
          <w:szCs w:val="32"/>
          <w:lang w:val="en-US" w:eastAsia="zh-CN"/>
        </w:rPr>
        <w:t xml:space="preserve"> </w:t>
      </w:r>
      <w:r>
        <w:rPr>
          <w:rFonts w:hint="eastAsia" w:ascii="黑体" w:hAnsi="黑体" w:eastAsia="黑体" w:cs="黑体"/>
          <w:color w:val="000000"/>
          <w:szCs w:val="32"/>
          <w:lang w:eastAsia="zh-CN"/>
        </w:rPr>
        <w:t>附录</w:t>
      </w:r>
      <w:r>
        <w:rPr>
          <w:rFonts w:ascii="黑体" w:hAnsi="黑体" w:eastAsia="黑体" w:cs="黑体"/>
          <w:color w:val="000000"/>
          <w:szCs w:val="32"/>
          <w:lang w:eastAsia="zh-CN"/>
        </w:rPr>
        <w:t>E</w:t>
      </w:r>
    </w:p>
    <w:p w14:paraId="6F58A3AF">
      <w:pPr>
        <w:spacing w:line="360" w:lineRule="auto"/>
        <w:ind w:firstLine="480"/>
        <w:jc w:val="center"/>
        <w:rPr>
          <w:rFonts w:eastAsia="黑体"/>
          <w:color w:val="000000"/>
          <w:szCs w:val="32"/>
          <w:lang w:eastAsia="zh-CN"/>
        </w:rPr>
      </w:pPr>
      <w:r>
        <w:rPr>
          <w:rFonts w:hint="eastAsia" w:eastAsia="黑体"/>
          <w:color w:val="000000"/>
          <w:szCs w:val="32"/>
          <w:lang w:val="en-US" w:eastAsia="zh-CN"/>
        </w:rPr>
        <w:t xml:space="preserve"> </w:t>
      </w:r>
      <w:r>
        <w:rPr>
          <w:rFonts w:eastAsia="黑体"/>
          <w:color w:val="000000"/>
          <w:szCs w:val="32"/>
          <w:lang w:eastAsia="zh-CN"/>
        </w:rPr>
        <w:t>（资料性附录）</w:t>
      </w:r>
    </w:p>
    <w:p w14:paraId="2309793A">
      <w:pPr>
        <w:spacing w:line="360" w:lineRule="auto"/>
        <w:ind w:firstLine="640"/>
        <w:jc w:val="center"/>
        <w:rPr>
          <w:rFonts w:eastAsia="黑体"/>
          <w:color w:val="000000"/>
          <w:sz w:val="32"/>
          <w:szCs w:val="40"/>
          <w:lang w:eastAsia="zh-CN"/>
        </w:rPr>
      </w:pPr>
      <w:r>
        <w:rPr>
          <w:rFonts w:hint="eastAsia" w:eastAsia="黑体"/>
          <w:color w:val="000000"/>
          <w:sz w:val="32"/>
          <w:szCs w:val="40"/>
          <w:lang w:eastAsia="zh-CN"/>
        </w:rPr>
        <w:t>肺脏</w:t>
      </w:r>
      <w:r>
        <w:rPr>
          <w:rFonts w:eastAsia="黑体"/>
          <w:color w:val="000000"/>
          <w:sz w:val="32"/>
          <w:szCs w:val="40"/>
          <w:lang w:eastAsia="zh-CN"/>
        </w:rPr>
        <w:t>组织蛋白的提取</w:t>
      </w:r>
    </w:p>
    <w:p w14:paraId="262CC44B">
      <w:pPr>
        <w:spacing w:line="360" w:lineRule="auto"/>
        <w:jc w:val="both"/>
        <w:rPr>
          <w:color w:val="000000"/>
          <w:sz w:val="21"/>
          <w:lang w:eastAsia="zh-CN"/>
        </w:rPr>
      </w:pPr>
      <w:r>
        <w:rPr>
          <w:rFonts w:ascii="黑体" w:hAnsi="黑体" w:eastAsia="黑体" w:cs="黑体"/>
          <w:color w:val="000000"/>
          <w:sz w:val="21"/>
          <w:lang w:eastAsia="zh-CN"/>
        </w:rPr>
        <w:t>E</w:t>
      </w:r>
      <w:r>
        <w:rPr>
          <w:rFonts w:hint="eastAsia" w:ascii="黑体" w:hAnsi="黑体" w:eastAsia="黑体" w:cs="黑体"/>
          <w:color w:val="000000"/>
          <w:sz w:val="21"/>
          <w:lang w:eastAsia="zh-CN"/>
        </w:rPr>
        <w:t>.1</w:t>
      </w:r>
      <w:r>
        <w:rPr>
          <w:rFonts w:eastAsia="黑体"/>
          <w:color w:val="000000"/>
          <w:sz w:val="21"/>
          <w:lang w:eastAsia="zh-CN"/>
        </w:rPr>
        <w:t xml:space="preserve"> </w:t>
      </w:r>
      <w:r>
        <w:rPr>
          <w:color w:val="000000"/>
          <w:sz w:val="21"/>
          <w:lang w:eastAsia="zh-CN"/>
        </w:rPr>
        <w:t>取适量肺组织，用PBS洗去血污，剪成小块放入研磨管中。</w:t>
      </w:r>
    </w:p>
    <w:p w14:paraId="53580D92">
      <w:pPr>
        <w:spacing w:line="360" w:lineRule="auto"/>
        <w:jc w:val="both"/>
        <w:rPr>
          <w:color w:val="000000"/>
          <w:sz w:val="21"/>
          <w:lang w:eastAsia="zh-CN"/>
        </w:rPr>
      </w:pPr>
      <w:r>
        <w:rPr>
          <w:rFonts w:ascii="黑体" w:hAnsi="黑体" w:eastAsia="黑体" w:cs="黑体"/>
          <w:color w:val="000000"/>
          <w:sz w:val="21"/>
          <w:lang w:eastAsia="zh-CN"/>
        </w:rPr>
        <w:t>E</w:t>
      </w:r>
      <w:r>
        <w:rPr>
          <w:rFonts w:hint="eastAsia" w:ascii="黑体" w:hAnsi="黑体" w:eastAsia="黑体" w:cs="黑体"/>
          <w:color w:val="000000"/>
          <w:sz w:val="21"/>
          <w:lang w:eastAsia="zh-CN"/>
        </w:rPr>
        <w:t xml:space="preserve">.2 </w:t>
      </w:r>
      <w:r>
        <w:rPr>
          <w:color w:val="000000"/>
          <w:sz w:val="21"/>
          <w:lang w:eastAsia="zh-CN"/>
        </w:rPr>
        <w:t>加入适量PBS，加入研磨用的钢珠后，放入组织研磨仪中制成匀浆。</w:t>
      </w:r>
    </w:p>
    <w:p w14:paraId="4A79AA51">
      <w:pPr>
        <w:spacing w:line="360" w:lineRule="auto"/>
        <w:jc w:val="both"/>
        <w:rPr>
          <w:rFonts w:eastAsia="黑体"/>
          <w:color w:val="000000"/>
          <w:sz w:val="21"/>
          <w:lang w:eastAsia="zh-CN"/>
        </w:rPr>
      </w:pPr>
      <w:r>
        <w:rPr>
          <w:rFonts w:ascii="黑体" w:hAnsi="黑体" w:eastAsia="黑体" w:cs="黑体"/>
          <w:color w:val="000000"/>
          <w:sz w:val="21"/>
          <w:lang w:eastAsia="zh-CN"/>
        </w:rPr>
        <w:t>E</w:t>
      </w:r>
      <w:r>
        <w:rPr>
          <w:rFonts w:hint="eastAsia" w:ascii="黑体" w:hAnsi="黑体" w:eastAsia="黑体" w:cs="黑体"/>
          <w:color w:val="000000"/>
          <w:sz w:val="21"/>
          <w:lang w:eastAsia="zh-CN"/>
        </w:rPr>
        <w:t>.3</w:t>
      </w:r>
      <w:r>
        <w:rPr>
          <w:rFonts w:eastAsia="黑体"/>
          <w:color w:val="000000"/>
          <w:sz w:val="21"/>
          <w:lang w:eastAsia="zh-CN"/>
        </w:rPr>
        <w:t xml:space="preserve"> </w:t>
      </w:r>
      <w:r>
        <w:rPr>
          <w:color w:val="000000"/>
          <w:sz w:val="21"/>
          <w:lang w:eastAsia="zh-CN"/>
        </w:rPr>
        <w:t>5000</w:t>
      </w:r>
      <w:r>
        <w:rPr>
          <w:rFonts w:hint="eastAsia"/>
          <w:color w:val="000000"/>
          <w:sz w:val="21"/>
          <w:lang w:eastAsia="zh-CN"/>
        </w:rPr>
        <w:t>×</w:t>
      </w:r>
      <w:r>
        <w:rPr>
          <w:color w:val="000000"/>
          <w:sz w:val="21"/>
          <w:lang w:eastAsia="zh-CN"/>
        </w:rPr>
        <w:t>g，4℃条件下离心10 min后取上清。</w:t>
      </w:r>
    </w:p>
    <w:p w14:paraId="092089F6">
      <w:pPr>
        <w:spacing w:line="360" w:lineRule="auto"/>
        <w:ind w:firstLine="420" w:firstLineChars="200"/>
        <w:rPr>
          <w:color w:val="000000"/>
          <w:sz w:val="21"/>
          <w:lang w:eastAsia="zh-CN"/>
        </w:rPr>
      </w:pPr>
    </w:p>
    <w:p w14:paraId="27B0C8D9">
      <w:pPr>
        <w:spacing w:line="360" w:lineRule="auto"/>
        <w:ind w:firstLine="420" w:firstLineChars="200"/>
        <w:rPr>
          <w:color w:val="000000"/>
          <w:sz w:val="21"/>
          <w:lang w:eastAsia="zh-CN"/>
        </w:rPr>
      </w:pPr>
    </w:p>
    <w:p w14:paraId="4ED65747">
      <w:pPr>
        <w:spacing w:line="360" w:lineRule="auto"/>
        <w:ind w:firstLine="420" w:firstLineChars="200"/>
        <w:rPr>
          <w:color w:val="000000"/>
          <w:sz w:val="21"/>
          <w:lang w:eastAsia="zh-CN"/>
        </w:rPr>
      </w:pPr>
    </w:p>
    <w:p w14:paraId="6815AD33">
      <w:pPr>
        <w:spacing w:line="360" w:lineRule="auto"/>
        <w:ind w:firstLine="420" w:firstLineChars="200"/>
        <w:rPr>
          <w:color w:val="000000"/>
          <w:sz w:val="21"/>
          <w:lang w:eastAsia="zh-CN"/>
        </w:rPr>
      </w:pPr>
    </w:p>
    <w:p w14:paraId="0A27EDFF">
      <w:pPr>
        <w:spacing w:line="360" w:lineRule="auto"/>
        <w:ind w:firstLine="420" w:firstLineChars="200"/>
        <w:rPr>
          <w:color w:val="000000"/>
          <w:sz w:val="21"/>
          <w:lang w:eastAsia="zh-CN"/>
        </w:rPr>
      </w:pPr>
    </w:p>
    <w:p w14:paraId="611EEAD9">
      <w:pPr>
        <w:spacing w:line="360" w:lineRule="auto"/>
        <w:ind w:firstLine="420" w:firstLineChars="200"/>
        <w:rPr>
          <w:color w:val="000000"/>
          <w:sz w:val="21"/>
          <w:lang w:eastAsia="zh-CN"/>
        </w:rPr>
      </w:pPr>
    </w:p>
    <w:p w14:paraId="0F0F3AF0">
      <w:pPr>
        <w:spacing w:line="360" w:lineRule="auto"/>
        <w:ind w:firstLine="420" w:firstLineChars="200"/>
        <w:rPr>
          <w:color w:val="000000"/>
          <w:sz w:val="21"/>
          <w:lang w:eastAsia="zh-CN"/>
        </w:rPr>
      </w:pPr>
    </w:p>
    <w:p w14:paraId="7288F710">
      <w:pPr>
        <w:spacing w:line="360" w:lineRule="auto"/>
        <w:ind w:firstLine="420" w:firstLineChars="200"/>
        <w:rPr>
          <w:color w:val="000000"/>
          <w:sz w:val="21"/>
          <w:lang w:eastAsia="zh-CN"/>
        </w:rPr>
      </w:pPr>
    </w:p>
    <w:p w14:paraId="7A02D9BD">
      <w:pPr>
        <w:spacing w:line="360" w:lineRule="auto"/>
        <w:ind w:firstLine="420" w:firstLineChars="200"/>
        <w:rPr>
          <w:color w:val="000000"/>
          <w:sz w:val="21"/>
          <w:lang w:eastAsia="zh-CN"/>
        </w:rPr>
      </w:pPr>
    </w:p>
    <w:p w14:paraId="3FBB2D00">
      <w:pPr>
        <w:spacing w:line="360" w:lineRule="auto"/>
        <w:ind w:firstLine="420" w:firstLineChars="200"/>
        <w:rPr>
          <w:rFonts w:ascii="宋体" w:hAnsi="宋体"/>
          <w:color w:val="000000"/>
          <w:sz w:val="21"/>
          <w:lang w:eastAsia="zh-CN"/>
        </w:rPr>
      </w:pPr>
    </w:p>
    <w:p w14:paraId="7074C473">
      <w:pPr>
        <w:spacing w:line="360" w:lineRule="auto"/>
        <w:ind w:firstLine="420" w:firstLineChars="200"/>
        <w:rPr>
          <w:rFonts w:ascii="宋体" w:hAnsi="宋体"/>
          <w:color w:val="000000"/>
          <w:sz w:val="21"/>
          <w:lang w:eastAsia="zh-CN"/>
        </w:rPr>
      </w:pPr>
    </w:p>
    <w:p w14:paraId="641AA4AC">
      <w:pPr>
        <w:spacing w:line="360" w:lineRule="auto"/>
        <w:ind w:firstLine="420" w:firstLineChars="200"/>
        <w:rPr>
          <w:rFonts w:ascii="宋体" w:hAnsi="宋体"/>
          <w:color w:val="000000"/>
          <w:sz w:val="21"/>
          <w:lang w:eastAsia="zh-CN"/>
        </w:rPr>
      </w:pPr>
    </w:p>
    <w:p w14:paraId="00E658EB">
      <w:pPr>
        <w:spacing w:line="360" w:lineRule="auto"/>
        <w:ind w:firstLine="420" w:firstLineChars="200"/>
        <w:rPr>
          <w:rFonts w:ascii="宋体" w:hAnsi="宋体"/>
          <w:color w:val="000000"/>
          <w:sz w:val="21"/>
          <w:lang w:eastAsia="zh-CN"/>
        </w:rPr>
      </w:pPr>
    </w:p>
    <w:p w14:paraId="64A8D59C">
      <w:pPr>
        <w:spacing w:line="360" w:lineRule="auto"/>
        <w:ind w:firstLine="420" w:firstLineChars="200"/>
        <w:rPr>
          <w:rFonts w:ascii="宋体" w:hAnsi="宋体"/>
          <w:color w:val="000000"/>
          <w:sz w:val="21"/>
          <w:lang w:eastAsia="zh-CN"/>
        </w:rPr>
      </w:pPr>
    </w:p>
    <w:p w14:paraId="581961E0">
      <w:pPr>
        <w:spacing w:line="360" w:lineRule="auto"/>
        <w:ind w:firstLine="420" w:firstLineChars="200"/>
        <w:rPr>
          <w:rFonts w:ascii="宋体" w:hAnsi="宋体"/>
          <w:color w:val="000000"/>
          <w:sz w:val="21"/>
          <w:lang w:eastAsia="zh-CN"/>
        </w:rPr>
      </w:pPr>
    </w:p>
    <w:p w14:paraId="17F4866B">
      <w:pPr>
        <w:spacing w:line="360" w:lineRule="auto"/>
        <w:ind w:firstLine="420" w:firstLineChars="200"/>
        <w:rPr>
          <w:rFonts w:ascii="宋体" w:hAnsi="宋体"/>
          <w:color w:val="000000"/>
          <w:sz w:val="21"/>
          <w:lang w:eastAsia="zh-CN"/>
        </w:rPr>
      </w:pPr>
    </w:p>
    <w:p w14:paraId="6D5135F6">
      <w:pPr>
        <w:spacing w:line="360" w:lineRule="auto"/>
        <w:ind w:firstLine="420" w:firstLineChars="200"/>
        <w:rPr>
          <w:rFonts w:ascii="宋体" w:hAnsi="宋体"/>
          <w:color w:val="000000"/>
          <w:sz w:val="21"/>
          <w:lang w:eastAsia="zh-CN"/>
        </w:rPr>
      </w:pPr>
    </w:p>
    <w:p w14:paraId="7879DB93">
      <w:pPr>
        <w:spacing w:line="360" w:lineRule="auto"/>
        <w:ind w:firstLine="420" w:firstLineChars="200"/>
        <w:rPr>
          <w:rFonts w:ascii="宋体" w:hAnsi="宋体"/>
          <w:color w:val="000000"/>
          <w:sz w:val="21"/>
          <w:lang w:eastAsia="zh-CN"/>
        </w:rPr>
      </w:pPr>
    </w:p>
    <w:p w14:paraId="0C8AB9FE">
      <w:pPr>
        <w:spacing w:line="360" w:lineRule="auto"/>
        <w:ind w:firstLine="420" w:firstLineChars="200"/>
        <w:rPr>
          <w:rFonts w:ascii="宋体" w:hAnsi="宋体"/>
          <w:color w:val="000000"/>
          <w:sz w:val="21"/>
          <w:lang w:eastAsia="zh-CN"/>
        </w:rPr>
      </w:pPr>
    </w:p>
    <w:p w14:paraId="23B4AEB4">
      <w:pPr>
        <w:spacing w:line="360" w:lineRule="auto"/>
        <w:ind w:firstLine="420" w:firstLineChars="200"/>
        <w:rPr>
          <w:rFonts w:ascii="宋体" w:hAnsi="宋体"/>
          <w:color w:val="000000"/>
          <w:sz w:val="21"/>
          <w:lang w:eastAsia="zh-CN"/>
        </w:rPr>
      </w:pPr>
    </w:p>
    <w:p w14:paraId="78D63164">
      <w:pPr>
        <w:spacing w:line="360" w:lineRule="auto"/>
        <w:ind w:firstLine="420" w:firstLineChars="200"/>
        <w:rPr>
          <w:rFonts w:ascii="宋体" w:hAnsi="宋体"/>
          <w:color w:val="000000"/>
          <w:sz w:val="21"/>
          <w:lang w:eastAsia="zh-CN"/>
        </w:rPr>
      </w:pPr>
    </w:p>
    <w:p w14:paraId="1598BE03">
      <w:pPr>
        <w:spacing w:line="360" w:lineRule="auto"/>
        <w:ind w:firstLine="420" w:firstLineChars="200"/>
        <w:rPr>
          <w:rFonts w:ascii="宋体" w:hAnsi="宋体"/>
          <w:color w:val="000000"/>
          <w:sz w:val="21"/>
          <w:lang w:eastAsia="zh-CN"/>
        </w:rPr>
      </w:pPr>
    </w:p>
    <w:p w14:paraId="1A0FFC59">
      <w:pPr>
        <w:spacing w:line="360" w:lineRule="auto"/>
        <w:ind w:firstLine="420" w:firstLineChars="200"/>
        <w:rPr>
          <w:rFonts w:ascii="宋体" w:hAnsi="宋体"/>
          <w:color w:val="000000"/>
          <w:sz w:val="21"/>
          <w:lang w:eastAsia="zh-CN"/>
        </w:rPr>
      </w:pPr>
    </w:p>
    <w:p w14:paraId="6C2D6B78">
      <w:pPr>
        <w:spacing w:line="360" w:lineRule="auto"/>
        <w:ind w:firstLine="480"/>
        <w:jc w:val="center"/>
        <w:rPr>
          <w:rFonts w:ascii="黑体" w:hAnsi="黑体" w:eastAsia="黑体" w:cs="黑体"/>
          <w:color w:val="000000"/>
          <w:szCs w:val="32"/>
          <w:lang w:eastAsia="zh-CN"/>
        </w:rPr>
      </w:pPr>
      <w:r>
        <w:rPr>
          <w:rFonts w:hint="eastAsia" w:ascii="黑体" w:hAnsi="黑体" w:eastAsia="黑体" w:cs="黑体"/>
          <w:color w:val="000000"/>
          <w:szCs w:val="32"/>
          <w:lang w:eastAsia="zh-CN"/>
        </w:rPr>
        <w:t>附录F</w:t>
      </w:r>
    </w:p>
    <w:p w14:paraId="5013777A">
      <w:pPr>
        <w:spacing w:line="360" w:lineRule="auto"/>
        <w:ind w:firstLine="480"/>
        <w:jc w:val="center"/>
        <w:rPr>
          <w:rFonts w:ascii="黑体" w:hAnsi="黑体" w:eastAsia="黑体" w:cs="黑体"/>
          <w:color w:val="000000"/>
          <w:szCs w:val="32"/>
          <w:lang w:eastAsia="zh-CN"/>
        </w:rPr>
      </w:pPr>
      <w:r>
        <w:rPr>
          <w:rFonts w:hint="eastAsia" w:ascii="黑体" w:hAnsi="黑体" w:eastAsia="黑体" w:cs="黑体"/>
          <w:color w:val="000000"/>
          <w:szCs w:val="32"/>
          <w:lang w:eastAsia="zh-CN"/>
        </w:rPr>
        <w:t>（资料性附录）</w:t>
      </w:r>
    </w:p>
    <w:p w14:paraId="0D67459D">
      <w:pPr>
        <w:spacing w:line="360" w:lineRule="auto"/>
        <w:ind w:firstLine="640"/>
        <w:jc w:val="center"/>
        <w:rPr>
          <w:rFonts w:ascii="黑体" w:hAnsi="黑体" w:eastAsia="黑体" w:cs="黑体"/>
          <w:color w:val="000000"/>
          <w:sz w:val="32"/>
          <w:szCs w:val="40"/>
          <w:lang w:eastAsia="zh-CN"/>
        </w:rPr>
      </w:pPr>
      <w:r>
        <w:rPr>
          <w:rFonts w:hint="eastAsia" w:ascii="黑体" w:hAnsi="黑体" w:eastAsia="黑体" w:cs="黑体"/>
          <w:color w:val="000000"/>
          <w:sz w:val="32"/>
          <w:szCs w:val="40"/>
          <w:lang w:eastAsia="zh-CN"/>
        </w:rPr>
        <w:t>大鼠/小鼠肺泡灌洗液的制备</w:t>
      </w:r>
    </w:p>
    <w:p w14:paraId="724D1062">
      <w:pPr>
        <w:spacing w:line="360" w:lineRule="auto"/>
        <w:jc w:val="both"/>
        <w:rPr>
          <w:rFonts w:ascii="黑体" w:hAnsi="黑体" w:eastAsia="黑体"/>
          <w:color w:val="000000"/>
          <w:sz w:val="21"/>
          <w:lang w:eastAsia="zh-CN"/>
        </w:rPr>
      </w:pPr>
      <w:r>
        <w:rPr>
          <w:rFonts w:ascii="黑体" w:hAnsi="黑体" w:eastAsia="黑体"/>
          <w:color w:val="000000"/>
          <w:sz w:val="21"/>
          <w:lang w:eastAsia="zh-CN"/>
        </w:rPr>
        <w:t>F</w:t>
      </w:r>
      <w:r>
        <w:rPr>
          <w:rFonts w:hint="eastAsia" w:ascii="黑体" w:hAnsi="黑体" w:eastAsia="黑体"/>
          <w:color w:val="000000"/>
          <w:sz w:val="21"/>
          <w:lang w:eastAsia="zh-CN"/>
        </w:rPr>
        <w:t>.1</w:t>
      </w:r>
      <w:r>
        <w:rPr>
          <w:rFonts w:hint="eastAsia" w:ascii="黑体" w:hAnsi="黑体" w:eastAsia="黑体"/>
          <w:color w:val="000000"/>
          <w:sz w:val="21"/>
          <w:lang w:val="en-US" w:eastAsia="zh-CN"/>
        </w:rPr>
        <w:t xml:space="preserve"> </w:t>
      </w:r>
      <w:r>
        <w:rPr>
          <w:rFonts w:hint="eastAsia" w:ascii="黑体" w:hAnsi="黑体" w:eastAsia="黑体"/>
          <w:color w:val="000000"/>
          <w:sz w:val="21"/>
          <w:lang w:eastAsia="zh-CN"/>
        </w:rPr>
        <w:t>大鼠肺泡灌洗液的制备</w:t>
      </w:r>
    </w:p>
    <w:p w14:paraId="20DFF684">
      <w:pPr>
        <w:spacing w:line="360" w:lineRule="auto"/>
        <w:jc w:val="both"/>
        <w:rPr>
          <w:rFonts w:hint="default" w:ascii="Times New Roman" w:hAnsi="Times New Roman" w:cs="Times New Roman"/>
          <w:color w:val="000000"/>
          <w:sz w:val="21"/>
          <w:lang w:eastAsia="zh-CN"/>
        </w:rPr>
      </w:pPr>
      <w:r>
        <w:rPr>
          <w:rFonts w:hint="default" w:ascii="Times New Roman" w:hAnsi="Times New Roman" w:eastAsia="黑体" w:cs="Times New Roman"/>
          <w:color w:val="000000"/>
          <w:sz w:val="21"/>
          <w:lang w:eastAsia="zh-CN"/>
        </w:rPr>
        <w:t xml:space="preserve">F.1.1 </w:t>
      </w:r>
      <w:r>
        <w:rPr>
          <w:rFonts w:hint="default" w:ascii="Times New Roman" w:hAnsi="Times New Roman" w:cs="Times New Roman"/>
          <w:color w:val="000000"/>
          <w:sz w:val="21"/>
          <w:lang w:eastAsia="zh-CN"/>
        </w:rPr>
        <w:t>大鼠麻醉后腹主动脉采血，暴露胸腔，右叶结扎，用生理盐水/PBS灌洗左肺。</w:t>
      </w:r>
    </w:p>
    <w:p w14:paraId="498EEC3C">
      <w:pPr>
        <w:spacing w:line="360" w:lineRule="auto"/>
        <w:jc w:val="both"/>
        <w:rPr>
          <w:rFonts w:hint="default" w:ascii="Times New Roman" w:hAnsi="Times New Roman" w:cs="Times New Roman"/>
          <w:color w:val="000000"/>
          <w:sz w:val="21"/>
          <w:lang w:eastAsia="zh-CN"/>
        </w:rPr>
      </w:pPr>
      <w:r>
        <w:rPr>
          <w:rFonts w:hint="default" w:ascii="Times New Roman" w:hAnsi="Times New Roman" w:eastAsia="黑体" w:cs="Times New Roman"/>
          <w:color w:val="000000"/>
          <w:sz w:val="21"/>
          <w:lang w:eastAsia="zh-CN"/>
        </w:rPr>
        <w:t xml:space="preserve">F.1.2 </w:t>
      </w:r>
      <w:r>
        <w:rPr>
          <w:rFonts w:hint="default" w:ascii="Times New Roman" w:hAnsi="Times New Roman" w:cs="Times New Roman"/>
          <w:color w:val="000000"/>
          <w:sz w:val="21"/>
          <w:lang w:eastAsia="zh-CN"/>
        </w:rPr>
        <w:t>缓慢打入，静止平衡30 s，缓慢抽出，1 mL/次，灌洗2次，回收率在80%左右。</w:t>
      </w:r>
    </w:p>
    <w:p w14:paraId="3517B033">
      <w:pPr>
        <w:spacing w:line="360" w:lineRule="auto"/>
        <w:jc w:val="both"/>
        <w:rPr>
          <w:rFonts w:hint="default" w:ascii="Times New Roman" w:hAnsi="Times New Roman" w:cs="Times New Roman"/>
          <w:color w:val="000000"/>
          <w:sz w:val="21"/>
          <w:lang w:eastAsia="zh-CN"/>
        </w:rPr>
      </w:pPr>
      <w:r>
        <w:rPr>
          <w:rFonts w:hint="default" w:ascii="Times New Roman" w:hAnsi="Times New Roman" w:eastAsia="黑体" w:cs="Times New Roman"/>
          <w:color w:val="000000"/>
          <w:sz w:val="21"/>
          <w:lang w:eastAsia="zh-CN"/>
        </w:rPr>
        <w:t xml:space="preserve">F.1.3 </w:t>
      </w:r>
      <w:r>
        <w:rPr>
          <w:rFonts w:hint="default" w:ascii="Times New Roman" w:hAnsi="Times New Roman" w:cs="Times New Roman"/>
          <w:color w:val="000000"/>
          <w:sz w:val="21"/>
          <w:lang w:eastAsia="zh-CN"/>
        </w:rPr>
        <w:t>收集到的肺泡灌洗液400×g，4℃离心10 min，收集上清，冻存于-80℃冰箱。</w:t>
      </w:r>
    </w:p>
    <w:p w14:paraId="2919DCC8">
      <w:pPr>
        <w:spacing w:line="360" w:lineRule="auto"/>
        <w:jc w:val="both"/>
        <w:rPr>
          <w:rFonts w:ascii="黑体" w:hAnsi="黑体" w:eastAsia="黑体"/>
          <w:color w:val="000000"/>
          <w:sz w:val="21"/>
          <w:lang w:eastAsia="zh-CN"/>
        </w:rPr>
      </w:pPr>
      <w:r>
        <w:rPr>
          <w:rFonts w:ascii="黑体" w:hAnsi="黑体" w:eastAsia="黑体"/>
          <w:color w:val="000000"/>
          <w:sz w:val="21"/>
          <w:lang w:eastAsia="zh-CN"/>
        </w:rPr>
        <w:t>F</w:t>
      </w:r>
      <w:r>
        <w:rPr>
          <w:rFonts w:hint="eastAsia" w:ascii="黑体" w:hAnsi="黑体" w:eastAsia="黑体"/>
          <w:color w:val="000000"/>
          <w:sz w:val="21"/>
          <w:lang w:eastAsia="zh-CN"/>
        </w:rPr>
        <w:t>.2</w:t>
      </w:r>
      <w:r>
        <w:rPr>
          <w:rFonts w:hint="eastAsia" w:ascii="黑体" w:hAnsi="黑体" w:eastAsia="黑体"/>
          <w:color w:val="000000"/>
          <w:sz w:val="21"/>
          <w:lang w:val="en-US" w:eastAsia="zh-CN"/>
        </w:rPr>
        <w:t xml:space="preserve"> </w:t>
      </w:r>
      <w:r>
        <w:rPr>
          <w:rFonts w:hint="eastAsia" w:ascii="黑体" w:hAnsi="黑体" w:eastAsia="黑体"/>
          <w:color w:val="000000"/>
          <w:sz w:val="21"/>
          <w:lang w:eastAsia="zh-CN"/>
        </w:rPr>
        <w:t>小鼠肺泡灌洗液的制备</w:t>
      </w:r>
    </w:p>
    <w:p w14:paraId="35A7F230">
      <w:pPr>
        <w:spacing w:line="360" w:lineRule="auto"/>
        <w:jc w:val="both"/>
        <w:rPr>
          <w:rFonts w:hint="default" w:ascii="Times New Roman" w:hAnsi="Times New Roman" w:cs="Times New Roman"/>
          <w:color w:val="000000"/>
          <w:sz w:val="21"/>
          <w:lang w:eastAsia="zh-CN"/>
        </w:rPr>
      </w:pPr>
      <w:r>
        <w:rPr>
          <w:rFonts w:hint="default" w:ascii="Times New Roman" w:hAnsi="Times New Roman" w:eastAsia="黑体" w:cs="Times New Roman"/>
          <w:color w:val="000000"/>
          <w:sz w:val="21"/>
          <w:lang w:eastAsia="zh-CN"/>
        </w:rPr>
        <w:t xml:space="preserve">F.2.1 </w:t>
      </w:r>
      <w:r>
        <w:rPr>
          <w:rFonts w:hint="default" w:ascii="Times New Roman" w:hAnsi="Times New Roman" w:cs="Times New Roman"/>
          <w:color w:val="000000"/>
          <w:sz w:val="21"/>
          <w:lang w:eastAsia="zh-CN"/>
        </w:rPr>
        <w:t>小鼠麻醉后采血，不要暴露胸腔，用生理盐水/PBS灌洗全肺。</w:t>
      </w:r>
    </w:p>
    <w:p w14:paraId="62B34FCA">
      <w:pPr>
        <w:spacing w:line="360" w:lineRule="auto"/>
        <w:jc w:val="both"/>
        <w:rPr>
          <w:rFonts w:hint="default" w:ascii="Times New Roman" w:hAnsi="Times New Roman" w:cs="Times New Roman"/>
          <w:color w:val="000000"/>
          <w:sz w:val="21"/>
          <w:lang w:eastAsia="zh-CN"/>
        </w:rPr>
      </w:pPr>
      <w:r>
        <w:rPr>
          <w:rFonts w:hint="default" w:ascii="Times New Roman" w:hAnsi="Times New Roman" w:eastAsia="黑体" w:cs="Times New Roman"/>
          <w:color w:val="000000"/>
          <w:sz w:val="21"/>
          <w:lang w:eastAsia="zh-CN"/>
        </w:rPr>
        <w:t xml:space="preserve">F.2.2 </w:t>
      </w:r>
      <w:r>
        <w:rPr>
          <w:rFonts w:hint="default" w:ascii="Times New Roman" w:hAnsi="Times New Roman" w:cs="Times New Roman"/>
          <w:color w:val="000000"/>
          <w:sz w:val="21"/>
          <w:lang w:eastAsia="zh-CN"/>
        </w:rPr>
        <w:t>缓慢打入，静止平衡30 s，缓慢抽出，0.8 mL/次，灌洗2次，回收率在70%左右。</w:t>
      </w:r>
    </w:p>
    <w:p w14:paraId="4D37B3BF">
      <w:pPr>
        <w:spacing w:line="360" w:lineRule="auto"/>
        <w:jc w:val="both"/>
        <w:rPr>
          <w:rFonts w:hint="default" w:ascii="Times New Roman" w:hAnsi="Times New Roman" w:cs="Times New Roman"/>
          <w:color w:val="000000"/>
          <w:sz w:val="21"/>
          <w:lang w:eastAsia="zh-CN"/>
        </w:rPr>
      </w:pPr>
      <w:r>
        <w:rPr>
          <w:rFonts w:hint="default" w:ascii="Times New Roman" w:hAnsi="Times New Roman" w:eastAsia="黑体" w:cs="Times New Roman"/>
          <w:color w:val="000000"/>
          <w:sz w:val="21"/>
          <w:lang w:eastAsia="zh-CN"/>
        </w:rPr>
        <w:t xml:space="preserve">F.2.3 </w:t>
      </w:r>
      <w:r>
        <w:rPr>
          <w:rFonts w:hint="default" w:ascii="Times New Roman" w:hAnsi="Times New Roman" w:cs="Times New Roman"/>
          <w:color w:val="000000"/>
          <w:sz w:val="21"/>
          <w:lang w:eastAsia="zh-CN"/>
        </w:rPr>
        <w:t>收集到的肺泡灌洗液400×g，4℃离心10 min，收集上清，冻存于-80℃冰箱。</w:t>
      </w:r>
    </w:p>
    <w:p w14:paraId="119B6CA8">
      <w:pPr>
        <w:spacing w:line="360" w:lineRule="auto"/>
        <w:ind w:firstLine="420" w:firstLineChars="200"/>
        <w:rPr>
          <w:rFonts w:ascii="宋体" w:hAnsi="宋体"/>
          <w:color w:val="000000"/>
          <w:sz w:val="21"/>
          <w:lang w:eastAsia="zh-CN"/>
        </w:rPr>
      </w:pPr>
    </w:p>
    <w:p w14:paraId="41C0A81A">
      <w:pPr>
        <w:spacing w:line="360" w:lineRule="auto"/>
        <w:ind w:firstLine="420" w:firstLineChars="200"/>
        <w:rPr>
          <w:rFonts w:ascii="宋体" w:hAnsi="宋体"/>
          <w:color w:val="000000"/>
          <w:sz w:val="21"/>
          <w:lang w:eastAsia="zh-CN"/>
        </w:rPr>
      </w:pPr>
    </w:p>
    <w:p w14:paraId="67C2A76B">
      <w:pPr>
        <w:spacing w:line="360" w:lineRule="auto"/>
        <w:ind w:firstLine="420" w:firstLineChars="200"/>
        <w:rPr>
          <w:rFonts w:ascii="宋体" w:hAnsi="宋体"/>
          <w:color w:val="000000"/>
          <w:sz w:val="21"/>
          <w:lang w:eastAsia="zh-CN"/>
        </w:rPr>
      </w:pPr>
    </w:p>
    <w:p w14:paraId="77D80154">
      <w:pPr>
        <w:spacing w:line="360" w:lineRule="auto"/>
        <w:ind w:firstLine="420" w:firstLineChars="200"/>
        <w:rPr>
          <w:rFonts w:ascii="宋体" w:hAnsi="宋体"/>
          <w:color w:val="000000"/>
          <w:sz w:val="21"/>
          <w:lang w:eastAsia="zh-CN"/>
        </w:rPr>
      </w:pPr>
    </w:p>
    <w:p w14:paraId="09E3A503">
      <w:pPr>
        <w:spacing w:line="360" w:lineRule="auto"/>
        <w:ind w:firstLine="420" w:firstLineChars="200"/>
        <w:rPr>
          <w:rFonts w:ascii="宋体" w:hAnsi="宋体"/>
          <w:color w:val="000000"/>
          <w:sz w:val="21"/>
          <w:lang w:eastAsia="zh-CN"/>
        </w:rPr>
      </w:pPr>
    </w:p>
    <w:p w14:paraId="66F1FF29">
      <w:pPr>
        <w:spacing w:line="360" w:lineRule="auto"/>
        <w:ind w:firstLine="420" w:firstLineChars="200"/>
        <w:rPr>
          <w:rFonts w:ascii="宋体" w:hAnsi="宋体"/>
          <w:color w:val="000000"/>
          <w:sz w:val="21"/>
          <w:lang w:eastAsia="zh-CN"/>
        </w:rPr>
      </w:pPr>
    </w:p>
    <w:p w14:paraId="40380218">
      <w:pPr>
        <w:spacing w:line="360" w:lineRule="auto"/>
        <w:ind w:firstLine="420" w:firstLineChars="200"/>
        <w:rPr>
          <w:rFonts w:ascii="宋体" w:hAnsi="宋体"/>
          <w:color w:val="000000"/>
          <w:sz w:val="21"/>
          <w:lang w:eastAsia="zh-CN"/>
        </w:rPr>
      </w:pPr>
    </w:p>
    <w:p w14:paraId="7E1D8506">
      <w:pPr>
        <w:spacing w:line="360" w:lineRule="auto"/>
        <w:ind w:firstLine="420" w:firstLineChars="200"/>
        <w:rPr>
          <w:rFonts w:ascii="宋体" w:hAnsi="宋体"/>
          <w:color w:val="000000"/>
          <w:sz w:val="21"/>
          <w:lang w:eastAsia="zh-CN"/>
        </w:rPr>
      </w:pPr>
    </w:p>
    <w:p w14:paraId="7FC510DD">
      <w:pPr>
        <w:spacing w:line="360" w:lineRule="auto"/>
        <w:ind w:firstLine="420" w:firstLineChars="200"/>
        <w:rPr>
          <w:rFonts w:ascii="宋体" w:hAnsi="宋体"/>
          <w:color w:val="000000"/>
          <w:sz w:val="21"/>
          <w:lang w:eastAsia="zh-CN"/>
        </w:rPr>
      </w:pPr>
    </w:p>
    <w:p w14:paraId="3D2159A0">
      <w:pPr>
        <w:spacing w:line="360" w:lineRule="auto"/>
        <w:ind w:firstLine="420" w:firstLineChars="200"/>
        <w:rPr>
          <w:rFonts w:ascii="宋体" w:hAnsi="宋体"/>
          <w:color w:val="000000"/>
          <w:sz w:val="21"/>
          <w:lang w:eastAsia="zh-CN"/>
        </w:rPr>
      </w:pPr>
    </w:p>
    <w:p w14:paraId="11258635">
      <w:pPr>
        <w:spacing w:line="360" w:lineRule="auto"/>
        <w:ind w:firstLine="420" w:firstLineChars="200"/>
        <w:rPr>
          <w:rFonts w:ascii="宋体" w:hAnsi="宋体"/>
          <w:color w:val="000000"/>
          <w:sz w:val="21"/>
          <w:lang w:eastAsia="zh-CN"/>
        </w:rPr>
      </w:pPr>
    </w:p>
    <w:p w14:paraId="57729465">
      <w:pPr>
        <w:spacing w:line="360" w:lineRule="auto"/>
        <w:ind w:firstLine="420" w:firstLineChars="200"/>
        <w:rPr>
          <w:rFonts w:ascii="宋体" w:hAnsi="宋体"/>
          <w:color w:val="000000"/>
          <w:sz w:val="21"/>
          <w:lang w:eastAsia="zh-CN"/>
        </w:rPr>
      </w:pPr>
    </w:p>
    <w:p w14:paraId="3B000F91">
      <w:pPr>
        <w:spacing w:line="360" w:lineRule="auto"/>
        <w:ind w:firstLine="420" w:firstLineChars="200"/>
        <w:rPr>
          <w:rFonts w:ascii="宋体" w:hAnsi="宋体"/>
          <w:color w:val="000000"/>
          <w:sz w:val="21"/>
          <w:lang w:eastAsia="zh-CN"/>
        </w:rPr>
      </w:pPr>
    </w:p>
    <w:p w14:paraId="512687CD">
      <w:pPr>
        <w:spacing w:line="360" w:lineRule="auto"/>
        <w:ind w:firstLine="420" w:firstLineChars="200"/>
        <w:rPr>
          <w:rFonts w:ascii="宋体" w:hAnsi="宋体"/>
          <w:color w:val="000000"/>
          <w:sz w:val="21"/>
          <w:lang w:eastAsia="zh-CN"/>
        </w:rPr>
      </w:pPr>
    </w:p>
    <w:p w14:paraId="59ED8205">
      <w:pPr>
        <w:spacing w:line="360" w:lineRule="auto"/>
        <w:ind w:firstLine="420" w:firstLineChars="200"/>
        <w:rPr>
          <w:rFonts w:ascii="宋体" w:hAnsi="宋体"/>
          <w:color w:val="000000"/>
          <w:sz w:val="21"/>
          <w:lang w:eastAsia="zh-CN"/>
        </w:rPr>
      </w:pPr>
    </w:p>
    <w:p w14:paraId="2334A76F">
      <w:pPr>
        <w:spacing w:line="360" w:lineRule="auto"/>
        <w:ind w:firstLine="420" w:firstLineChars="200"/>
        <w:rPr>
          <w:rFonts w:ascii="宋体" w:hAnsi="宋体"/>
          <w:color w:val="000000"/>
          <w:sz w:val="21"/>
          <w:lang w:eastAsia="zh-CN"/>
        </w:rPr>
      </w:pPr>
    </w:p>
    <w:p w14:paraId="5BE05753">
      <w:pPr>
        <w:spacing w:line="360" w:lineRule="auto"/>
        <w:ind w:firstLine="420" w:firstLineChars="200"/>
        <w:jc w:val="center"/>
        <w:rPr>
          <w:rFonts w:ascii="宋体" w:hAnsi="宋体"/>
          <w:b/>
          <w:bCs/>
          <w:color w:val="000000"/>
          <w:sz w:val="21"/>
          <w:lang w:eastAsia="zh-CN"/>
        </w:rPr>
      </w:pPr>
    </w:p>
    <w:p w14:paraId="701F4DAF">
      <w:pPr>
        <w:spacing w:line="360" w:lineRule="auto"/>
        <w:ind w:firstLine="422"/>
        <w:rPr>
          <w:rFonts w:ascii="宋体" w:hAnsi="宋体"/>
          <w:b/>
          <w:bCs/>
          <w:color w:val="000000"/>
          <w:sz w:val="21"/>
          <w:lang w:eastAsia="zh-CN"/>
        </w:rPr>
      </w:pPr>
    </w:p>
    <w:p w14:paraId="15C2F2D1">
      <w:pPr>
        <w:spacing w:line="360" w:lineRule="auto"/>
        <w:ind w:firstLine="480" w:firstLineChars="200"/>
        <w:jc w:val="center"/>
        <w:rPr>
          <w:rFonts w:ascii="黑体" w:hAnsi="黑体" w:eastAsia="黑体" w:cs="黑体"/>
          <w:color w:val="000000"/>
          <w:szCs w:val="32"/>
          <w:lang w:eastAsia="zh-CN"/>
        </w:rPr>
      </w:pPr>
      <w:r>
        <w:rPr>
          <w:rFonts w:hint="eastAsia" w:ascii="黑体" w:hAnsi="黑体" w:eastAsia="黑体" w:cs="黑体"/>
          <w:color w:val="000000"/>
          <w:szCs w:val="32"/>
          <w:lang w:eastAsia="zh-CN"/>
        </w:rPr>
        <w:t>附录G</w:t>
      </w:r>
    </w:p>
    <w:p w14:paraId="08241770">
      <w:pPr>
        <w:spacing w:line="360" w:lineRule="auto"/>
        <w:ind w:firstLine="480" w:firstLineChars="200"/>
        <w:jc w:val="center"/>
        <w:rPr>
          <w:rFonts w:ascii="黑体" w:hAnsi="黑体" w:eastAsia="黑体" w:cs="黑体"/>
          <w:color w:val="000000"/>
          <w:szCs w:val="32"/>
          <w:lang w:eastAsia="zh-CN"/>
        </w:rPr>
      </w:pPr>
      <w:r>
        <w:rPr>
          <w:rFonts w:hint="eastAsia" w:ascii="黑体" w:hAnsi="黑体" w:eastAsia="黑体" w:cs="黑体"/>
          <w:color w:val="000000"/>
          <w:szCs w:val="32"/>
          <w:lang w:eastAsia="zh-CN"/>
        </w:rPr>
        <w:t>（资料性附录）</w:t>
      </w:r>
    </w:p>
    <w:p w14:paraId="0AE0375F">
      <w:pPr>
        <w:spacing w:line="360" w:lineRule="auto"/>
        <w:ind w:firstLine="640" w:firstLineChars="200"/>
        <w:jc w:val="center"/>
        <w:rPr>
          <w:rFonts w:ascii="黑体" w:hAnsi="黑体" w:eastAsia="黑体" w:cs="黑体"/>
          <w:color w:val="000000"/>
          <w:sz w:val="32"/>
          <w:szCs w:val="40"/>
          <w:lang w:eastAsia="zh-CN"/>
        </w:rPr>
      </w:pPr>
      <w:r>
        <w:rPr>
          <w:rFonts w:hint="eastAsia" w:ascii="黑体" w:hAnsi="黑体" w:eastAsia="黑体" w:cs="黑体"/>
          <w:color w:val="000000"/>
          <w:sz w:val="32"/>
          <w:szCs w:val="40"/>
          <w:lang w:eastAsia="zh-CN"/>
        </w:rPr>
        <w:t>博来霉素诱导</w:t>
      </w:r>
      <w:r>
        <w:rPr>
          <w:rFonts w:ascii="黑体" w:hAnsi="黑体" w:eastAsia="黑体" w:cs="黑体"/>
          <w:color w:val="000000"/>
          <w:sz w:val="32"/>
          <w:szCs w:val="40"/>
          <w:lang w:eastAsia="zh-CN"/>
        </w:rPr>
        <w:t>W</w:t>
      </w:r>
      <w:r>
        <w:rPr>
          <w:rFonts w:hint="eastAsia" w:ascii="黑体" w:hAnsi="黑体" w:eastAsia="黑体" w:cs="黑体"/>
          <w:color w:val="000000"/>
          <w:sz w:val="32"/>
          <w:szCs w:val="40"/>
          <w:lang w:eastAsia="zh-CN"/>
        </w:rPr>
        <w:t>istar大鼠肺纤维化模型示例</w:t>
      </w:r>
    </w:p>
    <w:p w14:paraId="73879304">
      <w:pPr>
        <w:spacing w:line="360" w:lineRule="auto"/>
        <w:ind w:firstLine="640" w:firstLineChars="200"/>
        <w:jc w:val="center"/>
        <w:rPr>
          <w:rFonts w:ascii="黑体" w:hAnsi="黑体" w:eastAsia="黑体" w:cs="黑体"/>
          <w:color w:val="000000"/>
          <w:sz w:val="32"/>
          <w:szCs w:val="40"/>
          <w:lang w:eastAsia="zh-CN"/>
        </w:rPr>
      </w:pPr>
    </w:p>
    <w:p w14:paraId="27F24604">
      <w:pPr>
        <w:spacing w:line="360" w:lineRule="auto"/>
        <w:jc w:val="both"/>
        <w:rPr>
          <w:rFonts w:ascii="黑体" w:hAnsi="黑体" w:eastAsia="黑体"/>
          <w:color w:val="000000"/>
          <w:sz w:val="21"/>
          <w:lang w:eastAsia="zh-CN"/>
        </w:rPr>
      </w:pPr>
      <w:r>
        <w:rPr>
          <w:rFonts w:ascii="黑体" w:hAnsi="黑体" w:eastAsia="黑体"/>
          <w:color w:val="000000"/>
          <w:sz w:val="21"/>
          <w:lang w:eastAsia="zh-CN"/>
        </w:rPr>
        <w:t xml:space="preserve">G.1 </w:t>
      </w:r>
      <w:r>
        <w:rPr>
          <w:rFonts w:hint="eastAsia" w:ascii="黑体" w:hAnsi="黑体" w:eastAsia="黑体"/>
          <w:color w:val="000000"/>
          <w:sz w:val="21"/>
          <w:lang w:eastAsia="zh-CN"/>
        </w:rPr>
        <w:t>实验设计</w:t>
      </w:r>
    </w:p>
    <w:p w14:paraId="03265E2E">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G.1.1</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实验动物</w:t>
      </w:r>
    </w:p>
    <w:p w14:paraId="6E6F90D3">
      <w:pPr>
        <w:spacing w:line="360" w:lineRule="auto"/>
        <w:ind w:firstLine="420" w:firstLineChars="200"/>
        <w:rPr>
          <w:color w:val="000000"/>
          <w:sz w:val="21"/>
          <w:lang w:eastAsia="zh-CN"/>
        </w:rPr>
      </w:pPr>
      <w:r>
        <w:rPr>
          <w:rFonts w:hint="eastAsia"/>
          <w:color w:val="000000"/>
          <w:sz w:val="21"/>
          <w:lang w:eastAsia="zh-CN"/>
        </w:rPr>
        <w:t>Wistar大鼠，S</w:t>
      </w:r>
      <w:r>
        <w:rPr>
          <w:color w:val="000000"/>
          <w:sz w:val="21"/>
          <w:lang w:eastAsia="zh-CN"/>
        </w:rPr>
        <w:t>PF</w:t>
      </w:r>
      <w:r>
        <w:rPr>
          <w:rFonts w:hint="eastAsia"/>
          <w:color w:val="000000"/>
          <w:sz w:val="21"/>
          <w:lang w:eastAsia="zh-CN"/>
        </w:rPr>
        <w:t>级，</w:t>
      </w:r>
      <w:r>
        <w:rPr>
          <w:color w:val="000000"/>
          <w:sz w:val="21"/>
          <w:lang w:eastAsia="zh-CN"/>
        </w:rPr>
        <w:t>6</w:t>
      </w:r>
      <w:r>
        <w:rPr>
          <w:rFonts w:hint="eastAsia"/>
          <w:color w:val="000000"/>
          <w:sz w:val="21"/>
          <w:lang w:eastAsia="zh-CN"/>
        </w:rPr>
        <w:t xml:space="preserve">-8周龄，体质量 </w:t>
      </w:r>
      <w:r>
        <w:rPr>
          <w:color w:val="000000"/>
          <w:sz w:val="21"/>
          <w:lang w:eastAsia="zh-CN"/>
        </w:rPr>
        <w:t xml:space="preserve">180-220 </w:t>
      </w:r>
      <w:r>
        <w:rPr>
          <w:rFonts w:hint="eastAsia"/>
          <w:color w:val="000000"/>
          <w:sz w:val="21"/>
          <w:lang w:eastAsia="zh-CN"/>
        </w:rPr>
        <w:t>g，雄性。</w:t>
      </w:r>
    </w:p>
    <w:p w14:paraId="7E3AC521">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G.1.2</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实验动物饲养</w:t>
      </w:r>
    </w:p>
    <w:p w14:paraId="4853FAD6">
      <w:pPr>
        <w:spacing w:line="360" w:lineRule="auto"/>
        <w:ind w:firstLine="420" w:firstLineChars="200"/>
        <w:jc w:val="both"/>
        <w:rPr>
          <w:color w:val="000000"/>
          <w:sz w:val="21"/>
          <w:lang w:eastAsia="zh-CN"/>
        </w:rPr>
      </w:pPr>
      <w:r>
        <w:rPr>
          <w:rFonts w:hint="eastAsia"/>
          <w:color w:val="000000"/>
          <w:sz w:val="21"/>
          <w:lang w:eastAsia="zh-CN"/>
        </w:rPr>
        <w:t>屏障环境动物房，</w:t>
      </w:r>
      <w:r>
        <w:rPr>
          <w:color w:val="000000"/>
          <w:sz w:val="21"/>
          <w:lang w:eastAsia="zh-CN"/>
        </w:rPr>
        <w:t>12 h明暗交替，温度</w:t>
      </w:r>
      <w:r>
        <w:rPr>
          <w:rFonts w:hint="eastAsia"/>
          <w:color w:val="000000"/>
          <w:sz w:val="21"/>
          <w:lang w:eastAsia="zh-CN"/>
        </w:rPr>
        <w:t>2</w:t>
      </w:r>
      <w:r>
        <w:rPr>
          <w:color w:val="000000"/>
          <w:sz w:val="21"/>
          <w:lang w:eastAsia="zh-CN"/>
        </w:rPr>
        <w:t>2-26℃，湿度40-70%</w:t>
      </w:r>
      <w:r>
        <w:rPr>
          <w:rFonts w:hint="eastAsia"/>
          <w:color w:val="000000"/>
          <w:sz w:val="21"/>
          <w:lang w:eastAsia="zh-CN"/>
        </w:rPr>
        <w:t>，大小鼠维持饲料喂养，动物自由</w:t>
      </w:r>
      <w:r>
        <w:rPr>
          <w:color w:val="000000"/>
          <w:sz w:val="21"/>
          <w:lang w:eastAsia="zh-CN"/>
        </w:rPr>
        <w:t>饮水及进食。</w:t>
      </w:r>
      <w:r>
        <w:rPr>
          <w:rFonts w:hint="eastAsia"/>
          <w:color w:val="000000"/>
          <w:sz w:val="21"/>
          <w:lang w:eastAsia="zh-CN"/>
        </w:rPr>
        <w:t>每笼内的动物数5只动物观察</w:t>
      </w:r>
      <w:r>
        <w:rPr>
          <w:rFonts w:hint="eastAsia"/>
          <w:sz w:val="21"/>
          <w:lang w:eastAsia="zh-CN"/>
        </w:rPr>
        <w:t>。实验动物应该进行5天的适应性喂养。</w:t>
      </w:r>
    </w:p>
    <w:p w14:paraId="10979AF9">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G.1.3 实验分组</w:t>
      </w:r>
    </w:p>
    <w:p w14:paraId="411883A6">
      <w:pPr>
        <w:spacing w:line="360" w:lineRule="auto"/>
        <w:ind w:firstLine="420" w:firstLineChars="200"/>
        <w:jc w:val="both"/>
        <w:rPr>
          <w:rFonts w:ascii="Tw Cen MT Condensed" w:hAnsi="Tw Cen MT Condensed" w:cs="黑体"/>
          <w:color w:val="000000"/>
          <w:sz w:val="21"/>
          <w:lang w:eastAsia="zh-CN"/>
        </w:rPr>
      </w:pPr>
      <w:r>
        <w:rPr>
          <w:rFonts w:hint="eastAsia" w:ascii="Tw Cen MT Condensed" w:hAnsi="Tw Cen MT Condensed" w:cs="黑体"/>
          <w:color w:val="000000"/>
          <w:sz w:val="21"/>
          <w:lang w:eastAsia="zh-CN"/>
        </w:rPr>
        <w:t>阴性对照组：采用与模型组相同的方法给与等体积的生理盐水。</w:t>
      </w:r>
    </w:p>
    <w:p w14:paraId="45B51A00">
      <w:pPr>
        <w:spacing w:line="360" w:lineRule="auto"/>
        <w:ind w:firstLine="420" w:firstLineChars="200"/>
        <w:jc w:val="both"/>
        <w:rPr>
          <w:rFonts w:ascii="Tw Cen MT Condensed" w:hAnsi="Tw Cen MT Condensed" w:cs="黑体"/>
          <w:color w:val="000000"/>
          <w:sz w:val="21"/>
          <w:lang w:eastAsia="zh-CN"/>
        </w:rPr>
      </w:pPr>
      <w:r>
        <w:rPr>
          <w:rFonts w:hint="eastAsia" w:ascii="Tw Cen MT Condensed" w:hAnsi="Tw Cen MT Condensed" w:cs="黑体"/>
          <w:color w:val="000000"/>
          <w:sz w:val="21"/>
          <w:lang w:eastAsia="zh-CN"/>
        </w:rPr>
        <w:t>阳性对照组：采用吡非尼酮。</w:t>
      </w:r>
    </w:p>
    <w:p w14:paraId="4771B5F1">
      <w:pPr>
        <w:spacing w:line="360" w:lineRule="auto"/>
        <w:ind w:firstLine="420" w:firstLineChars="200"/>
        <w:jc w:val="both"/>
        <w:rPr>
          <w:rFonts w:ascii="Tw Cen MT Condensed" w:hAnsi="Tw Cen MT Condensed" w:cs="黑体"/>
          <w:color w:val="000000"/>
          <w:sz w:val="21"/>
          <w:lang w:eastAsia="zh-CN"/>
        </w:rPr>
      </w:pPr>
      <w:r>
        <w:rPr>
          <w:rFonts w:hint="eastAsia" w:ascii="Tw Cen MT Condensed" w:hAnsi="Tw Cen MT Condensed" w:cs="黑体"/>
          <w:color w:val="000000"/>
          <w:sz w:val="21"/>
          <w:lang w:eastAsia="zh-CN"/>
        </w:rPr>
        <w:t>受试药物组：设置三个给药剂量组。</w:t>
      </w:r>
    </w:p>
    <w:p w14:paraId="4DF1ADEF">
      <w:pPr>
        <w:spacing w:line="360" w:lineRule="auto"/>
        <w:ind w:firstLine="420" w:firstLineChars="200"/>
        <w:jc w:val="both"/>
        <w:rPr>
          <w:rFonts w:ascii="Tw Cen MT Condensed" w:hAnsi="Tw Cen MT Condensed" w:cs="黑体"/>
          <w:color w:val="000000"/>
          <w:sz w:val="21"/>
          <w:lang w:eastAsia="zh-CN"/>
        </w:rPr>
      </w:pPr>
      <w:r>
        <w:rPr>
          <w:rFonts w:hint="eastAsia" w:ascii="Tw Cen MT Condensed" w:hAnsi="Tw Cen MT Condensed" w:cs="黑体"/>
          <w:color w:val="000000"/>
          <w:sz w:val="21"/>
          <w:lang w:eastAsia="zh-CN"/>
        </w:rPr>
        <w:t>保证可用于实验动物数每组动物</w:t>
      </w:r>
      <w:r>
        <w:rPr>
          <w:color w:val="000000"/>
          <w:sz w:val="21"/>
          <w:lang w:eastAsia="zh-CN"/>
        </w:rPr>
        <w:t>30</w:t>
      </w:r>
      <w:r>
        <w:rPr>
          <w:rFonts w:hint="eastAsia" w:ascii="Tw Cen MT Condensed" w:hAnsi="Tw Cen MT Condensed" w:cs="黑体"/>
          <w:color w:val="000000"/>
          <w:sz w:val="21"/>
          <w:lang w:eastAsia="zh-CN"/>
        </w:rPr>
        <w:t>只动物。</w:t>
      </w:r>
    </w:p>
    <w:p w14:paraId="2AAF5AE8">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G.1.4 博来霉素诱发途径</w:t>
      </w:r>
    </w:p>
    <w:p w14:paraId="74516DC5">
      <w:pPr>
        <w:spacing w:line="360" w:lineRule="auto"/>
        <w:ind w:firstLine="420" w:firstLineChars="200"/>
        <w:jc w:val="both"/>
        <w:rPr>
          <w:color w:val="000000"/>
          <w:sz w:val="21"/>
          <w:lang w:eastAsia="zh-CN"/>
        </w:rPr>
      </w:pPr>
      <w:r>
        <w:rPr>
          <w:rFonts w:hint="eastAsia"/>
          <w:color w:val="000000"/>
          <w:sz w:val="21"/>
          <w:lang w:eastAsia="zh-CN"/>
        </w:rPr>
        <w:t>采用一次性博来霉素气管注射的诱发方式，给药1次。</w:t>
      </w:r>
    </w:p>
    <w:p w14:paraId="398D9B92">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G.1.5</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造模剂量</w:t>
      </w:r>
    </w:p>
    <w:p w14:paraId="010E2786">
      <w:pPr>
        <w:spacing w:line="360" w:lineRule="auto"/>
        <w:ind w:firstLine="420" w:firstLineChars="200"/>
        <w:jc w:val="both"/>
        <w:rPr>
          <w:color w:val="000000"/>
          <w:sz w:val="21"/>
          <w:lang w:eastAsia="zh-CN"/>
        </w:rPr>
      </w:pPr>
      <w:r>
        <w:rPr>
          <w:rFonts w:hint="eastAsia"/>
          <w:color w:val="000000"/>
          <w:sz w:val="21"/>
          <w:lang w:eastAsia="zh-CN"/>
        </w:rPr>
        <w:t>大鼠剂量5</w:t>
      </w:r>
      <w:r>
        <w:rPr>
          <w:color w:val="000000"/>
          <w:sz w:val="21"/>
          <w:lang w:eastAsia="zh-CN"/>
        </w:rPr>
        <w:t xml:space="preserve"> </w:t>
      </w:r>
      <w:r>
        <w:rPr>
          <w:rFonts w:hint="eastAsia"/>
          <w:color w:val="000000"/>
          <w:sz w:val="21"/>
          <w:lang w:eastAsia="zh-CN"/>
        </w:rPr>
        <w:t>mg</w:t>
      </w:r>
      <w:r>
        <w:rPr>
          <w:color w:val="000000"/>
          <w:sz w:val="21"/>
          <w:lang w:eastAsia="zh-CN"/>
        </w:rPr>
        <w:t>/</w:t>
      </w:r>
      <w:r>
        <w:rPr>
          <w:rFonts w:hint="eastAsia"/>
          <w:color w:val="000000"/>
          <w:sz w:val="21"/>
          <w:lang w:eastAsia="zh-CN"/>
        </w:rPr>
        <w:t>kg博来霉素，</w:t>
      </w:r>
      <w:r>
        <w:rPr>
          <w:color w:val="000000"/>
          <w:sz w:val="21"/>
          <w:lang w:eastAsia="zh-CN"/>
        </w:rPr>
        <w:t>博来霉素</w:t>
      </w:r>
      <w:r>
        <w:rPr>
          <w:rFonts w:hint="eastAsia"/>
          <w:color w:val="000000"/>
          <w:sz w:val="21"/>
          <w:lang w:eastAsia="zh-CN"/>
        </w:rPr>
        <w:t>（品牌日本化药株式会社，</w:t>
      </w:r>
      <w:r>
        <w:rPr>
          <w:color w:val="000000"/>
          <w:sz w:val="21"/>
          <w:lang w:eastAsia="zh-CN"/>
        </w:rPr>
        <w:t>15 mg</w:t>
      </w:r>
      <w:r>
        <w:rPr>
          <w:rFonts w:hint="eastAsia"/>
          <w:color w:val="000000"/>
          <w:sz w:val="21"/>
          <w:lang w:eastAsia="zh-CN"/>
        </w:rPr>
        <w:t>）</w:t>
      </w:r>
      <w:r>
        <w:rPr>
          <w:color w:val="000000"/>
          <w:sz w:val="21"/>
          <w:lang w:eastAsia="zh-CN"/>
        </w:rPr>
        <w:t>：每瓶博来霉素加3 mL生理盐水，博来霉素配成5</w:t>
      </w:r>
      <w:r>
        <w:rPr>
          <w:rFonts w:hint="eastAsia"/>
          <w:color w:val="000000"/>
          <w:sz w:val="21"/>
          <w:lang w:eastAsia="zh-CN"/>
        </w:rPr>
        <w:t xml:space="preserve"> </w:t>
      </w:r>
      <w:r>
        <w:rPr>
          <w:color w:val="000000"/>
          <w:sz w:val="21"/>
          <w:lang w:eastAsia="zh-CN"/>
        </w:rPr>
        <w:t>mg/mL的浓度。</w:t>
      </w:r>
    </w:p>
    <w:p w14:paraId="6B2B4DF8">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G.1.6 造模方式</w:t>
      </w:r>
    </w:p>
    <w:p w14:paraId="1127AFE9">
      <w:pPr>
        <w:spacing w:line="360" w:lineRule="auto"/>
        <w:ind w:firstLine="420" w:firstLineChars="200"/>
        <w:jc w:val="both"/>
        <w:rPr>
          <w:color w:val="000000"/>
          <w:sz w:val="21"/>
          <w:lang w:eastAsia="zh-CN"/>
        </w:rPr>
      </w:pPr>
      <w:r>
        <w:rPr>
          <w:color w:val="000000"/>
          <w:sz w:val="21"/>
          <w:lang w:eastAsia="zh-CN"/>
        </w:rPr>
        <w:t>大鼠</w:t>
      </w:r>
      <w:r>
        <w:rPr>
          <w:rFonts w:hint="eastAsia"/>
          <w:color w:val="000000"/>
          <w:sz w:val="21"/>
          <w:lang w:eastAsia="zh-CN"/>
        </w:rPr>
        <w:t>i</w:t>
      </w:r>
      <w:r>
        <w:rPr>
          <w:color w:val="000000"/>
          <w:sz w:val="21"/>
          <w:lang w:eastAsia="zh-CN"/>
        </w:rPr>
        <w:t>p舒泰50麻醉后</w:t>
      </w:r>
      <w:r>
        <w:rPr>
          <w:rFonts w:hint="eastAsia"/>
          <w:color w:val="000000"/>
          <w:sz w:val="21"/>
          <w:lang w:eastAsia="zh-CN"/>
        </w:rPr>
        <w:t>（5</w:t>
      </w:r>
      <w:r>
        <w:rPr>
          <w:color w:val="000000"/>
          <w:sz w:val="21"/>
          <w:lang w:eastAsia="zh-CN"/>
        </w:rPr>
        <w:t xml:space="preserve">0 </w:t>
      </w:r>
      <w:r>
        <w:rPr>
          <w:rFonts w:hint="eastAsia"/>
          <w:color w:val="000000"/>
          <w:sz w:val="21"/>
          <w:lang w:eastAsia="zh-CN"/>
        </w:rPr>
        <w:t>mg</w:t>
      </w:r>
      <w:r>
        <w:rPr>
          <w:color w:val="000000"/>
          <w:sz w:val="21"/>
          <w:lang w:eastAsia="zh-CN"/>
        </w:rPr>
        <w:t>/</w:t>
      </w:r>
      <w:r>
        <w:rPr>
          <w:rFonts w:hint="eastAsia"/>
          <w:color w:val="000000"/>
          <w:sz w:val="21"/>
          <w:lang w:eastAsia="zh-CN"/>
        </w:rPr>
        <w:t>kg剂量）</w:t>
      </w:r>
      <w:r>
        <w:rPr>
          <w:color w:val="000000"/>
          <w:sz w:val="21"/>
          <w:lang w:eastAsia="zh-CN"/>
        </w:rPr>
        <w:t>，将大鼠</w:t>
      </w:r>
      <w:r>
        <w:rPr>
          <w:rFonts w:hint="eastAsia"/>
          <w:color w:val="000000"/>
          <w:sz w:val="21"/>
          <w:lang w:eastAsia="zh-CN"/>
        </w:rPr>
        <w:t>置于鼠板上，牙齿用手术线悬挂固定，并将</w:t>
      </w:r>
      <w:r>
        <w:rPr>
          <w:color w:val="000000"/>
          <w:sz w:val="21"/>
          <w:lang w:eastAsia="zh-CN"/>
        </w:rPr>
        <w:t>四肢固定在鼠板上，</w:t>
      </w:r>
      <w:r>
        <w:rPr>
          <w:rFonts w:hint="eastAsia"/>
          <w:color w:val="000000"/>
          <w:sz w:val="21"/>
          <w:lang w:eastAsia="zh-CN"/>
        </w:rPr>
        <w:t>鼠板直立放置，碘酒消毒大鼠喉部皮肤，手术剪剪开喉部，眼科镊撕开肌肉，钝性暴露剥离气管。</w:t>
      </w:r>
      <w:r>
        <w:rPr>
          <w:color w:val="000000"/>
          <w:sz w:val="21"/>
          <w:lang w:eastAsia="zh-CN"/>
        </w:rPr>
        <w:t>使用1 mL注射器吸取适量博来霉素，继续抽取空气至0.5 mL，注射博来霉素后直立大鼠，并将其旋转3</w:t>
      </w:r>
      <w:r>
        <w:rPr>
          <w:rFonts w:hint="eastAsia"/>
          <w:color w:val="000000"/>
          <w:sz w:val="21"/>
          <w:lang w:eastAsia="zh-CN"/>
        </w:rPr>
        <w:t>-</w:t>
      </w:r>
      <w:r>
        <w:rPr>
          <w:color w:val="000000"/>
          <w:sz w:val="21"/>
          <w:lang w:eastAsia="zh-CN"/>
        </w:rPr>
        <w:t>4周使博来霉素在肺部分布均匀，缝合肌肉与皮肤。阴性对照组注射等量的生理盐水，其余操作相同。待</w:t>
      </w:r>
      <w:r>
        <w:rPr>
          <w:rFonts w:hint="eastAsia"/>
          <w:color w:val="000000"/>
          <w:sz w:val="21"/>
          <w:lang w:eastAsia="zh-CN"/>
        </w:rPr>
        <w:t>动物</w:t>
      </w:r>
      <w:r>
        <w:rPr>
          <w:color w:val="000000"/>
          <w:sz w:val="21"/>
          <w:lang w:eastAsia="zh-CN"/>
        </w:rPr>
        <w:t>自然苏醒后</w:t>
      </w:r>
      <w:r>
        <w:rPr>
          <w:rFonts w:hint="eastAsia"/>
          <w:color w:val="000000"/>
          <w:sz w:val="21"/>
          <w:lang w:eastAsia="zh-CN"/>
        </w:rPr>
        <w:t>，存活动物按照体重分组</w:t>
      </w:r>
      <w:r>
        <w:rPr>
          <w:color w:val="000000"/>
          <w:sz w:val="21"/>
          <w:lang w:eastAsia="zh-CN"/>
        </w:rPr>
        <w:t>。于造模第2</w:t>
      </w:r>
      <w:r>
        <w:rPr>
          <w:rFonts w:hint="eastAsia"/>
          <w:color w:val="000000"/>
          <w:sz w:val="21"/>
          <w:lang w:eastAsia="zh-CN"/>
        </w:rPr>
        <w:t>天</w:t>
      </w:r>
      <w:r>
        <w:rPr>
          <w:color w:val="000000"/>
          <w:sz w:val="21"/>
          <w:lang w:eastAsia="zh-CN"/>
        </w:rPr>
        <w:t>开始每日给予对应剂量的药物</w:t>
      </w:r>
      <w:r>
        <w:rPr>
          <w:rFonts w:hint="eastAsia"/>
          <w:color w:val="000000"/>
          <w:sz w:val="21"/>
          <w:lang w:eastAsia="zh-CN"/>
        </w:rPr>
        <w:t>。</w:t>
      </w:r>
    </w:p>
    <w:p w14:paraId="4597D7BC">
      <w:pPr>
        <w:spacing w:line="360" w:lineRule="auto"/>
        <w:ind w:firstLine="420" w:firstLineChars="200"/>
        <w:jc w:val="both"/>
        <w:rPr>
          <w:color w:val="000000"/>
          <w:sz w:val="21"/>
          <w:lang w:eastAsia="zh-CN"/>
        </w:rPr>
      </w:pPr>
      <w:r>
        <w:rPr>
          <w:rFonts w:hint="eastAsia"/>
          <w:color w:val="000000"/>
          <w:sz w:val="21"/>
          <w:lang w:eastAsia="zh-CN"/>
        </w:rPr>
        <w:t>受试药物给药：造模后1天，将存活动物称重，按照动物体质量随机分组，并给与受试药物，连续给药2</w:t>
      </w:r>
      <w:r>
        <w:rPr>
          <w:color w:val="000000"/>
          <w:sz w:val="21"/>
          <w:lang w:eastAsia="zh-CN"/>
        </w:rPr>
        <w:t>8</w:t>
      </w:r>
      <w:r>
        <w:rPr>
          <w:rFonts w:hint="eastAsia"/>
          <w:color w:val="000000"/>
          <w:sz w:val="21"/>
          <w:lang w:eastAsia="zh-CN"/>
        </w:rPr>
        <w:t>天，期间在给药7、1</w:t>
      </w:r>
      <w:r>
        <w:rPr>
          <w:color w:val="000000"/>
          <w:sz w:val="21"/>
          <w:lang w:eastAsia="zh-CN"/>
        </w:rPr>
        <w:t>4</w:t>
      </w:r>
      <w:r>
        <w:rPr>
          <w:rFonts w:hint="eastAsia"/>
          <w:color w:val="000000"/>
          <w:sz w:val="21"/>
          <w:lang w:eastAsia="zh-CN"/>
        </w:rPr>
        <w:t>、2</w:t>
      </w:r>
      <w:r>
        <w:rPr>
          <w:color w:val="000000"/>
          <w:sz w:val="21"/>
          <w:lang w:eastAsia="zh-CN"/>
        </w:rPr>
        <w:t>8</w:t>
      </w:r>
      <w:r>
        <w:rPr>
          <w:rFonts w:hint="eastAsia"/>
          <w:color w:val="000000"/>
          <w:sz w:val="21"/>
          <w:lang w:eastAsia="zh-CN"/>
        </w:rPr>
        <w:t>天取标本进行相关指标检测。</w:t>
      </w:r>
    </w:p>
    <w:p w14:paraId="339AD5D2">
      <w:pPr>
        <w:spacing w:line="360" w:lineRule="auto"/>
        <w:rPr>
          <w:rFonts w:ascii="黑体" w:hAnsi="黑体" w:eastAsia="黑体"/>
          <w:color w:val="000000"/>
          <w:sz w:val="21"/>
          <w:lang w:eastAsia="zh-CN"/>
        </w:rPr>
      </w:pPr>
      <w:r>
        <w:rPr>
          <w:rFonts w:ascii="黑体" w:hAnsi="黑体" w:eastAsia="黑体"/>
          <w:color w:val="000000"/>
          <w:sz w:val="21"/>
          <w:lang w:eastAsia="zh-CN"/>
        </w:rPr>
        <w:t xml:space="preserve">G.2 </w:t>
      </w:r>
      <w:r>
        <w:rPr>
          <w:rFonts w:hint="eastAsia" w:ascii="黑体" w:hAnsi="黑体" w:eastAsia="黑体"/>
          <w:color w:val="000000"/>
          <w:sz w:val="21"/>
          <w:lang w:eastAsia="zh-CN"/>
        </w:rPr>
        <w:t>实验观察指标及结果</w:t>
      </w:r>
    </w:p>
    <w:p w14:paraId="381EC26B">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G.2.1 一般状况</w:t>
      </w:r>
    </w:p>
    <w:p w14:paraId="1C90F961">
      <w:pPr>
        <w:spacing w:line="360" w:lineRule="auto"/>
        <w:ind w:firstLine="420" w:firstLineChars="200"/>
        <w:jc w:val="both"/>
        <w:rPr>
          <w:color w:val="000000"/>
          <w:sz w:val="21"/>
          <w:lang w:eastAsia="zh-CN"/>
        </w:rPr>
      </w:pPr>
      <w:r>
        <w:rPr>
          <w:rFonts w:hint="eastAsia"/>
          <w:color w:val="000000"/>
          <w:sz w:val="21"/>
          <w:lang w:eastAsia="zh-CN"/>
        </w:rPr>
        <w:t>实验期间，每天观察动物一般状况，观察可知，对照组与假手术组大鼠精神状态良好，活泼好动，毛色有光泽，饮水、进食及二便均正常，体质量持续增长。造模后，各组食量及饮水量均有所下降，精神萎靡，毛色暗淡发黄。同时模型组大鼠出现拱背，口唇，爪甲及尾尖均呈现紫黯，部分大鼠出现口鼻出血，呼吸困难。</w:t>
      </w:r>
    </w:p>
    <w:p w14:paraId="1C88B8EA">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G.2.2 体质量</w:t>
      </w:r>
    </w:p>
    <w:p w14:paraId="1A478D1B">
      <w:pPr>
        <w:spacing w:line="360" w:lineRule="auto"/>
        <w:ind w:firstLine="420" w:firstLineChars="200"/>
        <w:jc w:val="both"/>
        <w:rPr>
          <w:color w:val="000000"/>
          <w:sz w:val="21"/>
          <w:lang w:eastAsia="zh-CN"/>
        </w:rPr>
      </w:pPr>
      <w:r>
        <w:rPr>
          <w:color w:val="000000"/>
          <w:sz w:val="21"/>
          <w:lang w:eastAsia="zh-CN"/>
        </w:rPr>
        <w:t>在造模第1</w:t>
      </w:r>
      <w:r>
        <w:rPr>
          <w:rFonts w:hint="eastAsia"/>
          <w:color w:val="000000"/>
          <w:sz w:val="21"/>
          <w:lang w:eastAsia="zh-CN"/>
        </w:rPr>
        <w:t>、</w:t>
      </w:r>
      <w:r>
        <w:rPr>
          <w:color w:val="000000"/>
          <w:sz w:val="21"/>
          <w:lang w:eastAsia="zh-CN"/>
        </w:rPr>
        <w:t>7</w:t>
      </w:r>
      <w:r>
        <w:rPr>
          <w:rFonts w:hint="eastAsia"/>
          <w:color w:val="000000"/>
          <w:sz w:val="21"/>
          <w:lang w:eastAsia="zh-CN"/>
        </w:rPr>
        <w:t>、</w:t>
      </w:r>
      <w:r>
        <w:rPr>
          <w:color w:val="000000"/>
          <w:sz w:val="21"/>
          <w:lang w:eastAsia="zh-CN"/>
        </w:rPr>
        <w:t>14</w:t>
      </w:r>
      <w:r>
        <w:rPr>
          <w:rFonts w:hint="eastAsia"/>
          <w:color w:val="000000"/>
          <w:sz w:val="21"/>
          <w:lang w:eastAsia="zh-CN"/>
        </w:rPr>
        <w:t>、</w:t>
      </w:r>
      <w:r>
        <w:rPr>
          <w:color w:val="000000"/>
          <w:sz w:val="21"/>
          <w:lang w:eastAsia="zh-CN"/>
        </w:rPr>
        <w:t>21及28</w:t>
      </w:r>
      <w:r>
        <w:rPr>
          <w:rFonts w:hint="eastAsia"/>
          <w:color w:val="000000"/>
          <w:sz w:val="21"/>
          <w:lang w:eastAsia="zh-CN"/>
        </w:rPr>
        <w:t>天</w:t>
      </w:r>
      <w:r>
        <w:rPr>
          <w:color w:val="000000"/>
          <w:sz w:val="21"/>
          <w:lang w:eastAsia="zh-CN"/>
        </w:rPr>
        <w:t>称量大鼠体质量，</w:t>
      </w:r>
      <w:r>
        <w:rPr>
          <w:rFonts w:hint="eastAsia"/>
          <w:color w:val="000000"/>
          <w:sz w:val="21"/>
          <w:lang w:eastAsia="zh-CN"/>
        </w:rPr>
        <w:t>结果显示，模型动物在实验期间呈现增长趋势，但自造模后7天模型动物体重显著低于阴性对照组，到造模后2</w:t>
      </w:r>
      <w:r>
        <w:rPr>
          <w:color w:val="000000"/>
          <w:sz w:val="21"/>
          <w:lang w:eastAsia="zh-CN"/>
        </w:rPr>
        <w:t>8</w:t>
      </w:r>
      <w:r>
        <w:rPr>
          <w:rFonts w:hint="eastAsia"/>
          <w:color w:val="000000"/>
          <w:sz w:val="21"/>
          <w:lang w:eastAsia="zh-CN"/>
        </w:rPr>
        <w:t>天与阴性对照组比较体重约降低1</w:t>
      </w:r>
      <w:r>
        <w:rPr>
          <w:color w:val="000000"/>
          <w:sz w:val="21"/>
          <w:lang w:eastAsia="zh-CN"/>
        </w:rPr>
        <w:t>5</w:t>
      </w:r>
      <w:r>
        <w:rPr>
          <w:rFonts w:hint="eastAsia"/>
          <w:color w:val="000000"/>
          <w:sz w:val="21"/>
          <w:lang w:eastAsia="zh-CN"/>
        </w:rPr>
        <w:t>%</w:t>
      </w:r>
      <w:r>
        <w:rPr>
          <w:color w:val="000000"/>
          <w:sz w:val="21"/>
          <w:lang w:eastAsia="zh-CN"/>
        </w:rPr>
        <w:t xml:space="preserve">-25 </w:t>
      </w:r>
      <w:r>
        <w:rPr>
          <w:rFonts w:hint="eastAsia"/>
          <w:color w:val="000000"/>
          <w:sz w:val="21"/>
          <w:lang w:eastAsia="zh-CN"/>
        </w:rPr>
        <w:t>%。</w:t>
      </w:r>
    </w:p>
    <w:p w14:paraId="6B180D38">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G.2.3 胸部CT</w:t>
      </w:r>
    </w:p>
    <w:p w14:paraId="0414048D">
      <w:pPr>
        <w:spacing w:line="360" w:lineRule="auto"/>
        <w:ind w:firstLine="420" w:firstLineChars="200"/>
        <w:jc w:val="both"/>
        <w:rPr>
          <w:color w:val="000000"/>
          <w:sz w:val="21"/>
          <w:lang w:eastAsia="zh-CN"/>
        </w:rPr>
      </w:pPr>
      <w:r>
        <w:rPr>
          <w:rFonts w:hint="eastAsia"/>
          <w:color w:val="000000"/>
          <w:sz w:val="21"/>
          <w:lang w:eastAsia="zh-CN"/>
        </w:rPr>
        <w:t>造模2</w:t>
      </w:r>
      <w:r>
        <w:rPr>
          <w:color w:val="000000"/>
          <w:sz w:val="21"/>
          <w:lang w:eastAsia="zh-CN"/>
        </w:rPr>
        <w:t>8</w:t>
      </w:r>
      <w:r>
        <w:rPr>
          <w:rFonts w:hint="eastAsia"/>
          <w:color w:val="000000"/>
          <w:sz w:val="21"/>
          <w:lang w:eastAsia="zh-CN"/>
        </w:rPr>
        <w:t>天，麻醉后活体大鼠俯卧位，四肢摊开，头先进，自由呼吸情况下进行胸部C</w:t>
      </w:r>
      <w:r>
        <w:rPr>
          <w:color w:val="000000"/>
          <w:sz w:val="21"/>
          <w:lang w:eastAsia="zh-CN"/>
        </w:rPr>
        <w:t>T</w:t>
      </w:r>
      <w:r>
        <w:rPr>
          <w:rFonts w:hint="eastAsia"/>
          <w:color w:val="000000"/>
          <w:sz w:val="21"/>
          <w:lang w:eastAsia="zh-CN"/>
        </w:rPr>
        <w:t>断层平扫，从而获得大鼠肺部的micro</w:t>
      </w:r>
      <w:r>
        <w:rPr>
          <w:color w:val="000000"/>
          <w:sz w:val="21"/>
          <w:lang w:eastAsia="zh-CN"/>
        </w:rPr>
        <w:t xml:space="preserve"> CT</w:t>
      </w:r>
      <w:r>
        <w:rPr>
          <w:rFonts w:hint="eastAsia"/>
          <w:color w:val="000000"/>
          <w:sz w:val="21"/>
          <w:lang w:eastAsia="zh-CN"/>
        </w:rPr>
        <w:t>图像。结果显示与阴性对照组相比，双肺可见肺纹理改变，双肺肺门斑块状密度增高影，散在小圆形结节状高密度影和片状高密度影。</w:t>
      </w:r>
    </w:p>
    <w:p w14:paraId="4BB4CD24">
      <w:pPr>
        <w:spacing w:line="360" w:lineRule="auto"/>
        <w:jc w:val="both"/>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G.2.4 肺功能</w:t>
      </w:r>
    </w:p>
    <w:p w14:paraId="0892CB4E">
      <w:pPr>
        <w:spacing w:line="360" w:lineRule="auto"/>
        <w:ind w:firstLine="420" w:firstLineChars="200"/>
        <w:jc w:val="both"/>
        <w:rPr>
          <w:color w:val="000000"/>
          <w:sz w:val="21"/>
          <w:lang w:eastAsia="zh-CN"/>
        </w:rPr>
      </w:pPr>
      <w:r>
        <w:rPr>
          <w:color w:val="000000"/>
          <w:sz w:val="21"/>
          <w:lang w:eastAsia="zh-CN"/>
        </w:rPr>
        <w:t>分别在造模第7、14、21和28</w:t>
      </w:r>
      <w:r>
        <w:rPr>
          <w:rFonts w:hint="eastAsia"/>
          <w:color w:val="000000"/>
          <w:sz w:val="21"/>
          <w:lang w:eastAsia="zh-CN"/>
        </w:rPr>
        <w:t>天检测，</w:t>
      </w:r>
      <w:r>
        <w:rPr>
          <w:color w:val="000000"/>
          <w:sz w:val="21"/>
          <w:lang w:eastAsia="zh-CN"/>
        </w:rPr>
        <w:t>DSI/BUXCO监测系统仪器校准并达到稳定状态后，麻醉大鼠，</w:t>
      </w:r>
      <w:r>
        <w:rPr>
          <w:rFonts w:hint="eastAsia"/>
          <w:color w:val="000000"/>
          <w:sz w:val="21"/>
          <w:lang w:eastAsia="zh-CN"/>
        </w:rPr>
        <w:t>大鼠仰卧位固定，</w:t>
      </w:r>
      <w:r>
        <w:rPr>
          <w:color w:val="000000"/>
          <w:sz w:val="21"/>
          <w:lang w:eastAsia="zh-CN"/>
        </w:rPr>
        <w:t>消毒喉部皮肤，切开后暴露气管，进行气管插管，使用缝合线固定，将大鼠放置在密闭容器内，测定大鼠潮气量、气道阻力及肺顺应性变化。</w:t>
      </w:r>
      <w:r>
        <w:rPr>
          <w:rFonts w:hint="eastAsia"/>
          <w:color w:val="000000"/>
          <w:sz w:val="21"/>
          <w:lang w:eastAsia="zh-CN"/>
        </w:rPr>
        <w:t>结果显示，</w:t>
      </w:r>
      <w:r>
        <w:rPr>
          <w:color w:val="000000"/>
          <w:sz w:val="21"/>
          <w:lang w:eastAsia="zh-CN"/>
        </w:rPr>
        <w:t xml:space="preserve">与阴性对照组比较，造模7 </w:t>
      </w:r>
      <w:r>
        <w:rPr>
          <w:rFonts w:hint="eastAsia"/>
          <w:color w:val="000000"/>
          <w:sz w:val="21"/>
          <w:lang w:eastAsia="zh-CN"/>
        </w:rPr>
        <w:t>天</w:t>
      </w:r>
      <w:r>
        <w:rPr>
          <w:color w:val="000000"/>
          <w:sz w:val="21"/>
          <w:lang w:eastAsia="zh-CN"/>
        </w:rPr>
        <w:t>模型组大鼠的各项肺功能指标已经出现较为明显的改变，主要表现为气道阻力</w:t>
      </w:r>
      <w:r>
        <w:rPr>
          <w:rFonts w:hint="eastAsia"/>
          <w:color w:val="000000"/>
          <w:sz w:val="21"/>
          <w:lang w:eastAsia="zh-CN"/>
        </w:rPr>
        <w:t>（RI）</w:t>
      </w:r>
      <w:r>
        <w:rPr>
          <w:color w:val="000000"/>
          <w:sz w:val="21"/>
          <w:lang w:eastAsia="zh-CN"/>
        </w:rPr>
        <w:t>显著升高，动态肺顺应性显著降低</w:t>
      </w:r>
      <w:r>
        <w:rPr>
          <w:rFonts w:hint="eastAsia"/>
          <w:color w:val="000000"/>
          <w:sz w:val="21"/>
          <w:lang w:eastAsia="zh-CN"/>
        </w:rPr>
        <w:t>（Cdyn）</w:t>
      </w:r>
      <w:r>
        <w:rPr>
          <w:color w:val="000000"/>
          <w:sz w:val="21"/>
          <w:lang w:eastAsia="zh-CN"/>
        </w:rPr>
        <w:t>；造模14天</w:t>
      </w:r>
      <w:r>
        <w:rPr>
          <w:rFonts w:hint="eastAsia"/>
          <w:color w:val="000000"/>
          <w:sz w:val="21"/>
          <w:lang w:eastAsia="zh-CN"/>
        </w:rPr>
        <w:t>和2</w:t>
      </w:r>
      <w:r>
        <w:rPr>
          <w:color w:val="000000"/>
          <w:sz w:val="21"/>
          <w:lang w:eastAsia="zh-CN"/>
        </w:rPr>
        <w:t>8</w:t>
      </w:r>
      <w:r>
        <w:rPr>
          <w:rFonts w:hint="eastAsia"/>
          <w:color w:val="000000"/>
          <w:sz w:val="21"/>
          <w:lang w:eastAsia="zh-CN"/>
        </w:rPr>
        <w:t>天</w:t>
      </w:r>
      <w:r>
        <w:rPr>
          <w:color w:val="000000"/>
          <w:sz w:val="21"/>
          <w:lang w:eastAsia="zh-CN"/>
        </w:rPr>
        <w:t>时，模型组大鼠的</w:t>
      </w:r>
      <w:r>
        <w:rPr>
          <w:rFonts w:hint="eastAsia"/>
          <w:color w:val="000000"/>
          <w:sz w:val="21"/>
          <w:lang w:eastAsia="zh-CN"/>
        </w:rPr>
        <w:t>RI显著升高，</w:t>
      </w:r>
      <w:r>
        <w:rPr>
          <w:color w:val="000000"/>
          <w:sz w:val="21"/>
          <w:lang w:eastAsia="zh-CN"/>
        </w:rPr>
        <w:t>潮气量</w:t>
      </w:r>
      <w:r>
        <w:rPr>
          <w:rFonts w:hint="eastAsia"/>
          <w:color w:val="000000"/>
          <w:sz w:val="21"/>
          <w:lang w:eastAsia="zh-CN"/>
        </w:rPr>
        <w:t>（</w:t>
      </w:r>
      <w:r>
        <w:rPr>
          <w:color w:val="000000"/>
          <w:sz w:val="21"/>
          <w:lang w:eastAsia="zh-CN"/>
        </w:rPr>
        <w:t>TV</w:t>
      </w:r>
      <w:r>
        <w:rPr>
          <w:rFonts w:hint="eastAsia"/>
          <w:color w:val="000000"/>
          <w:sz w:val="21"/>
          <w:lang w:eastAsia="zh-CN"/>
        </w:rPr>
        <w:t>）和Cdyn</w:t>
      </w:r>
      <w:r>
        <w:rPr>
          <w:color w:val="000000"/>
          <w:sz w:val="21"/>
          <w:lang w:eastAsia="zh-CN"/>
        </w:rPr>
        <w:t>显著降低</w:t>
      </w:r>
      <w:r>
        <w:rPr>
          <w:rFonts w:hint="eastAsia"/>
          <w:color w:val="000000"/>
          <w:sz w:val="21"/>
          <w:lang w:eastAsia="zh-CN"/>
        </w:rPr>
        <w:t>。</w:t>
      </w:r>
    </w:p>
    <w:p w14:paraId="0B99EE26">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G.2.5 肺系数</w:t>
      </w:r>
    </w:p>
    <w:p w14:paraId="690BD19A">
      <w:pPr>
        <w:spacing w:line="360" w:lineRule="auto"/>
        <w:ind w:firstLine="420" w:firstLineChars="200"/>
        <w:jc w:val="both"/>
        <w:rPr>
          <w:color w:val="000000"/>
          <w:sz w:val="21"/>
          <w:lang w:eastAsia="zh-CN"/>
        </w:rPr>
      </w:pPr>
      <w:r>
        <w:rPr>
          <w:rFonts w:hint="eastAsia"/>
          <w:color w:val="000000"/>
          <w:sz w:val="21"/>
          <w:lang w:eastAsia="zh-CN"/>
        </w:rPr>
        <w:t>在造模第</w:t>
      </w:r>
      <w:r>
        <w:rPr>
          <w:color w:val="000000"/>
          <w:sz w:val="21"/>
          <w:lang w:eastAsia="zh-CN"/>
        </w:rPr>
        <w:t>7</w:t>
      </w:r>
      <w:r>
        <w:rPr>
          <w:rFonts w:hint="eastAsia"/>
          <w:color w:val="000000"/>
          <w:sz w:val="21"/>
          <w:lang w:eastAsia="zh-CN"/>
        </w:rPr>
        <w:t>、</w:t>
      </w:r>
      <w:r>
        <w:rPr>
          <w:color w:val="000000"/>
          <w:sz w:val="21"/>
          <w:lang w:eastAsia="zh-CN"/>
        </w:rPr>
        <w:t>14</w:t>
      </w:r>
      <w:r>
        <w:rPr>
          <w:rFonts w:hint="eastAsia"/>
          <w:color w:val="000000"/>
          <w:sz w:val="21"/>
          <w:lang w:eastAsia="zh-CN"/>
        </w:rPr>
        <w:t>和</w:t>
      </w:r>
      <w:r>
        <w:rPr>
          <w:color w:val="000000"/>
          <w:sz w:val="21"/>
          <w:lang w:eastAsia="zh-CN"/>
        </w:rPr>
        <w:t>28天</w:t>
      </w:r>
      <w:r>
        <w:rPr>
          <w:rFonts w:hint="eastAsia"/>
          <w:color w:val="000000"/>
          <w:sz w:val="21"/>
          <w:lang w:eastAsia="zh-CN"/>
        </w:rPr>
        <w:t>测定。动物称重，放血处死动物</w:t>
      </w:r>
      <w:r>
        <w:rPr>
          <w:color w:val="000000"/>
          <w:sz w:val="21"/>
          <w:lang w:eastAsia="zh-CN"/>
        </w:rPr>
        <w:t>，</w:t>
      </w:r>
      <w:r>
        <w:rPr>
          <w:rFonts w:hint="eastAsia"/>
          <w:color w:val="000000"/>
          <w:sz w:val="21"/>
          <w:lang w:eastAsia="zh-CN"/>
        </w:rPr>
        <w:t>解剖</w:t>
      </w:r>
      <w:r>
        <w:rPr>
          <w:color w:val="000000"/>
          <w:sz w:val="21"/>
          <w:lang w:eastAsia="zh-CN"/>
        </w:rPr>
        <w:t>剥离肺组织，生理盐水冲洗，将肺组织在滤纸上蘸去表面水分后称肺湿质量，并计算肺系数。肺系数</w:t>
      </w:r>
      <w:r>
        <w:rPr>
          <w:rFonts w:hint="eastAsia"/>
          <w:color w:val="000000"/>
          <w:sz w:val="21"/>
          <w:lang w:eastAsia="zh-CN"/>
        </w:rPr>
        <w:t>（%）</w:t>
      </w:r>
      <w:r>
        <w:rPr>
          <w:color w:val="000000"/>
          <w:sz w:val="21"/>
          <w:lang w:eastAsia="zh-CN"/>
        </w:rPr>
        <w:t>＝肺湿质量（mg）/体质量（g）</w:t>
      </w:r>
      <w:r>
        <w:rPr>
          <w:rFonts w:hint="eastAsia"/>
          <w:color w:val="000000"/>
          <w:sz w:val="21"/>
          <w:lang w:eastAsia="zh-CN"/>
        </w:rPr>
        <w:t>。</w:t>
      </w:r>
      <w:r>
        <w:rPr>
          <w:color w:val="000000"/>
          <w:sz w:val="21"/>
          <w:lang w:eastAsia="zh-CN"/>
        </w:rPr>
        <w:t>与阴性对照组比较，</w:t>
      </w:r>
      <w:r>
        <w:rPr>
          <w:rFonts w:hint="eastAsia"/>
          <w:color w:val="000000"/>
          <w:sz w:val="21"/>
          <w:lang w:eastAsia="zh-CN"/>
        </w:rPr>
        <w:t>造模7、1</w:t>
      </w:r>
      <w:r>
        <w:rPr>
          <w:color w:val="000000"/>
          <w:sz w:val="21"/>
          <w:lang w:eastAsia="zh-CN"/>
        </w:rPr>
        <w:t>4</w:t>
      </w:r>
      <w:r>
        <w:rPr>
          <w:rFonts w:hint="eastAsia"/>
          <w:color w:val="000000"/>
          <w:sz w:val="21"/>
          <w:lang w:eastAsia="zh-CN"/>
        </w:rPr>
        <w:t>和2</w:t>
      </w:r>
      <w:r>
        <w:rPr>
          <w:color w:val="000000"/>
          <w:sz w:val="21"/>
          <w:lang w:eastAsia="zh-CN"/>
        </w:rPr>
        <w:t>8</w:t>
      </w:r>
      <w:r>
        <w:rPr>
          <w:rFonts w:hint="eastAsia"/>
          <w:color w:val="000000"/>
          <w:sz w:val="21"/>
          <w:lang w:eastAsia="zh-CN"/>
        </w:rPr>
        <w:t>天三个时间点</w:t>
      </w:r>
      <w:r>
        <w:rPr>
          <w:color w:val="000000"/>
          <w:sz w:val="21"/>
          <w:lang w:eastAsia="zh-CN"/>
        </w:rPr>
        <w:t>模型组大鼠的肺系数</w:t>
      </w:r>
      <w:r>
        <w:rPr>
          <w:rFonts w:hint="eastAsia"/>
          <w:color w:val="000000"/>
          <w:sz w:val="21"/>
          <w:lang w:eastAsia="zh-CN"/>
        </w:rPr>
        <w:t>均</w:t>
      </w:r>
      <w:r>
        <w:rPr>
          <w:color w:val="000000"/>
          <w:sz w:val="21"/>
          <w:lang w:eastAsia="zh-CN"/>
        </w:rPr>
        <w:t>显著升高</w:t>
      </w:r>
      <w:r>
        <w:rPr>
          <w:rFonts w:hint="eastAsia"/>
          <w:color w:val="000000"/>
          <w:sz w:val="21"/>
          <w:lang w:eastAsia="zh-CN"/>
        </w:rPr>
        <w:t>，表明博来霉素能够使肺部的渗出液增多，蛋白浸润，纤维结缔组织异常增生，细胞外基质沉积，导致肺脏重量增加。</w:t>
      </w:r>
      <w:r>
        <w:rPr>
          <w:color w:val="000000"/>
          <w:sz w:val="21"/>
          <w:lang w:eastAsia="zh-CN"/>
        </w:rPr>
        <w:t xml:space="preserve"> </w:t>
      </w:r>
    </w:p>
    <w:p w14:paraId="06DA3AB6">
      <w:pPr>
        <w:spacing w:line="360" w:lineRule="auto"/>
        <w:ind w:firstLine="420" w:firstLineChars="200"/>
        <w:jc w:val="both"/>
        <w:rPr>
          <w:color w:val="000000"/>
          <w:sz w:val="21"/>
          <w:lang w:eastAsia="zh-CN"/>
        </w:rPr>
      </w:pPr>
    </w:p>
    <w:p w14:paraId="77983E25">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G.2.6 肺组织病理改变</w:t>
      </w:r>
    </w:p>
    <w:p w14:paraId="13A39562">
      <w:pPr>
        <w:spacing w:line="360" w:lineRule="auto"/>
        <w:ind w:firstLine="420" w:firstLineChars="200"/>
        <w:jc w:val="both"/>
        <w:rPr>
          <w:color w:val="000000"/>
          <w:sz w:val="21"/>
          <w:lang w:eastAsia="zh-CN"/>
        </w:rPr>
      </w:pPr>
      <w:r>
        <w:rPr>
          <w:color w:val="000000"/>
          <w:sz w:val="21"/>
          <w:lang w:eastAsia="zh-CN"/>
        </w:rPr>
        <w:t>在造模第7、14和28天处</w:t>
      </w:r>
      <w:r>
        <w:rPr>
          <w:rFonts w:hint="eastAsia"/>
          <w:color w:val="000000"/>
          <w:sz w:val="21"/>
          <w:lang w:eastAsia="zh-CN"/>
        </w:rPr>
        <w:t>观察</w:t>
      </w:r>
      <w:r>
        <w:rPr>
          <w:color w:val="000000"/>
          <w:sz w:val="21"/>
          <w:lang w:eastAsia="zh-CN"/>
        </w:rPr>
        <w:t>。</w:t>
      </w:r>
      <w:r>
        <w:rPr>
          <w:rFonts w:hint="eastAsia"/>
          <w:color w:val="000000"/>
          <w:sz w:val="21"/>
          <w:lang w:eastAsia="zh-CN"/>
        </w:rPr>
        <w:t>动物放血处死，解剖摘取的脏器，用</w:t>
      </w:r>
      <w:r>
        <w:rPr>
          <w:color w:val="000000"/>
          <w:sz w:val="21"/>
          <w:lang w:eastAsia="zh-CN"/>
        </w:rPr>
        <w:t>10 %</w:t>
      </w:r>
      <w:r>
        <w:rPr>
          <w:rFonts w:hint="eastAsia"/>
          <w:color w:val="000000"/>
          <w:sz w:val="21"/>
          <w:lang w:eastAsia="zh-CN"/>
        </w:rPr>
        <w:t>福尔马林组织固定液液固定、保存。病理制片时，将固定后的组织经修块取材，逐级酒精脱水，石蜡包埋，切片染色（H</w:t>
      </w:r>
      <w:r>
        <w:rPr>
          <w:color w:val="000000"/>
          <w:sz w:val="21"/>
          <w:lang w:eastAsia="zh-CN"/>
        </w:rPr>
        <w:t>E</w:t>
      </w:r>
      <w:r>
        <w:rPr>
          <w:rFonts w:hint="eastAsia"/>
          <w:color w:val="000000"/>
          <w:sz w:val="21"/>
          <w:lang w:eastAsia="zh-CN"/>
        </w:rPr>
        <w:t>、Masson染色法），在光镜下进行检查。</w:t>
      </w:r>
    </w:p>
    <w:p w14:paraId="580A7943">
      <w:pPr>
        <w:spacing w:line="360" w:lineRule="auto"/>
        <w:ind w:firstLine="420" w:firstLineChars="200"/>
        <w:jc w:val="both"/>
        <w:rPr>
          <w:color w:val="000000"/>
          <w:sz w:val="21"/>
          <w:lang w:eastAsia="zh-CN"/>
        </w:rPr>
      </w:pPr>
      <w:r>
        <w:rPr>
          <w:rFonts w:hint="eastAsia"/>
          <w:color w:val="000000"/>
          <w:sz w:val="21"/>
          <w:lang w:eastAsia="zh-CN"/>
        </w:rPr>
        <w:t>HE染色，阴性对照组肺泡结构完整，支气管上皮完整未脱落，未见明显的淋巴细胞和中性粒细胞浸润。模型组造模7</w:t>
      </w:r>
      <w:bookmarkStart w:id="20" w:name="_Hlk126088974"/>
      <w:r>
        <w:rPr>
          <w:rFonts w:hint="eastAsia"/>
          <w:color w:val="000000"/>
          <w:sz w:val="21"/>
          <w:lang w:eastAsia="zh-CN"/>
        </w:rPr>
        <w:t>天</w:t>
      </w:r>
      <w:r>
        <w:rPr>
          <w:color w:val="000000"/>
          <w:sz w:val="21"/>
          <w:lang w:eastAsia="zh-CN"/>
        </w:rPr>
        <w:t>肺间质增厚伴炎细胞浸润，肺泡壁增宽，纤维组织不同程度增生，肺泡形态</w:t>
      </w:r>
      <w:r>
        <w:rPr>
          <w:rFonts w:hint="eastAsia"/>
          <w:color w:val="000000"/>
          <w:sz w:val="21"/>
          <w:lang w:eastAsia="zh-CN"/>
        </w:rPr>
        <w:t>改变</w:t>
      </w:r>
      <w:r>
        <w:rPr>
          <w:color w:val="000000"/>
          <w:sz w:val="21"/>
          <w:lang w:eastAsia="zh-CN"/>
        </w:rPr>
        <w:t>。</w:t>
      </w:r>
      <w:bookmarkEnd w:id="20"/>
      <w:r>
        <w:rPr>
          <w:color w:val="000000"/>
          <w:sz w:val="21"/>
          <w:lang w:eastAsia="zh-CN"/>
        </w:rPr>
        <w:t>造模14天时，模型组支气管黏膜破坏，周围肺组织肺泡间隔增厚伴炎症细胞浸润，纤维组织增生、水肿，泡沫细胞聚集。造模28天时，模型组肺泡代偿性扩张，纤维组织增生，肺组织局部结构破坏。</w:t>
      </w:r>
    </w:p>
    <w:p w14:paraId="44B6C6D8">
      <w:pPr>
        <w:spacing w:line="360" w:lineRule="auto"/>
        <w:ind w:firstLine="420" w:firstLineChars="200"/>
        <w:jc w:val="both"/>
        <w:rPr>
          <w:color w:val="000000"/>
          <w:sz w:val="21"/>
          <w:lang w:eastAsia="zh-CN"/>
        </w:rPr>
      </w:pPr>
      <w:r>
        <w:rPr>
          <w:rFonts w:hint="eastAsia"/>
          <w:color w:val="000000"/>
          <w:sz w:val="21"/>
          <w:lang w:eastAsia="zh-CN"/>
        </w:rPr>
        <w:t>Masson染色，</w:t>
      </w:r>
      <w:r>
        <w:rPr>
          <w:color w:val="000000"/>
          <w:sz w:val="21"/>
          <w:lang w:eastAsia="zh-CN"/>
        </w:rPr>
        <w:t xml:space="preserve">造模7 </w:t>
      </w:r>
      <w:r>
        <w:rPr>
          <w:rFonts w:hint="eastAsia"/>
          <w:color w:val="000000"/>
          <w:sz w:val="21"/>
          <w:lang w:eastAsia="zh-CN"/>
        </w:rPr>
        <w:t>、1</w:t>
      </w:r>
      <w:r>
        <w:rPr>
          <w:color w:val="000000"/>
          <w:sz w:val="21"/>
          <w:lang w:eastAsia="zh-CN"/>
        </w:rPr>
        <w:t>4</w:t>
      </w:r>
      <w:r>
        <w:rPr>
          <w:rFonts w:hint="eastAsia"/>
          <w:color w:val="000000"/>
          <w:sz w:val="21"/>
          <w:lang w:eastAsia="zh-CN"/>
        </w:rPr>
        <w:t>和2</w:t>
      </w:r>
      <w:r>
        <w:rPr>
          <w:color w:val="000000"/>
          <w:sz w:val="21"/>
          <w:lang w:eastAsia="zh-CN"/>
        </w:rPr>
        <w:t>8</w:t>
      </w:r>
      <w:r>
        <w:rPr>
          <w:rFonts w:hint="eastAsia"/>
          <w:color w:val="000000"/>
          <w:sz w:val="21"/>
          <w:lang w:eastAsia="zh-CN"/>
        </w:rPr>
        <w:t>天</w:t>
      </w:r>
      <w:r>
        <w:rPr>
          <w:color w:val="000000"/>
          <w:sz w:val="21"/>
          <w:lang w:eastAsia="zh-CN"/>
        </w:rPr>
        <w:t>，阴性对照组未见明显纤维结缔组织增生</w:t>
      </w:r>
      <w:r>
        <w:rPr>
          <w:rFonts w:hint="eastAsia"/>
          <w:color w:val="000000"/>
          <w:sz w:val="21"/>
          <w:lang w:eastAsia="zh-CN"/>
        </w:rPr>
        <w:t>，模型组大鼠的肺部出现明显的纤维组织增生，随着造模时间延长其纤维化范围和严重程度增加。</w:t>
      </w:r>
    </w:p>
    <w:p w14:paraId="56CB5610">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G.2.7 ELISA法检测肺组织中</w:t>
      </w:r>
      <w:bookmarkStart w:id="21" w:name="_Hlk129108551"/>
      <w:r>
        <w:rPr>
          <w:rFonts w:hint="default" w:ascii="Times New Roman" w:hAnsi="Times New Roman" w:eastAsia="宋体" w:cs="Times New Roman"/>
          <w:color w:val="000000"/>
          <w:sz w:val="21"/>
          <w:lang w:eastAsia="zh-CN"/>
        </w:rPr>
        <w:t>COL-Ⅰ和FN</w:t>
      </w:r>
      <w:bookmarkEnd w:id="21"/>
      <w:r>
        <w:rPr>
          <w:rFonts w:hint="default" w:ascii="Times New Roman" w:hAnsi="Times New Roman" w:eastAsia="宋体" w:cs="Times New Roman"/>
          <w:color w:val="000000"/>
          <w:sz w:val="21"/>
          <w:lang w:eastAsia="zh-CN"/>
        </w:rPr>
        <w:t>含量测定</w:t>
      </w:r>
    </w:p>
    <w:p w14:paraId="5392BDC9">
      <w:pPr>
        <w:spacing w:line="360" w:lineRule="auto"/>
        <w:ind w:firstLine="420" w:firstLineChars="200"/>
        <w:jc w:val="both"/>
        <w:rPr>
          <w:rFonts w:hint="eastAsia"/>
          <w:color w:val="000000"/>
          <w:sz w:val="21"/>
          <w:lang w:eastAsia="zh-CN"/>
        </w:rPr>
      </w:pPr>
      <w:r>
        <w:rPr>
          <w:color w:val="000000"/>
          <w:sz w:val="21"/>
          <w:lang w:eastAsia="zh-CN"/>
        </w:rPr>
        <w:t>造模第7、14和28天处</w:t>
      </w:r>
      <w:r>
        <w:rPr>
          <w:rFonts w:hint="eastAsia"/>
          <w:color w:val="000000"/>
          <w:sz w:val="21"/>
          <w:lang w:eastAsia="zh-CN"/>
        </w:rPr>
        <w:t>观察，动物放血处死，解剖摘取的脏器，</w:t>
      </w:r>
      <w:r>
        <w:rPr>
          <w:color w:val="000000"/>
          <w:sz w:val="21"/>
          <w:lang w:eastAsia="zh-CN"/>
        </w:rPr>
        <w:t>将</w:t>
      </w:r>
      <w:r>
        <w:rPr>
          <w:rFonts w:hint="eastAsia"/>
          <w:color w:val="000000"/>
          <w:sz w:val="21"/>
          <w:lang w:eastAsia="zh-CN"/>
        </w:rPr>
        <w:t>右</w:t>
      </w:r>
      <w:r>
        <w:rPr>
          <w:color w:val="000000"/>
          <w:sz w:val="21"/>
          <w:lang w:eastAsia="zh-CN"/>
        </w:rPr>
        <w:t>肺剪成1 cm</w:t>
      </w:r>
      <w:r>
        <w:rPr>
          <w:color w:val="000000"/>
          <w:sz w:val="21"/>
          <w:vertAlign w:val="superscript"/>
          <w:lang w:eastAsia="zh-CN"/>
        </w:rPr>
        <w:t>3</w:t>
      </w:r>
      <w:r>
        <w:rPr>
          <w:color w:val="000000"/>
          <w:sz w:val="21"/>
          <w:lang w:eastAsia="zh-CN"/>
        </w:rPr>
        <w:t>左右小块放入冻存管中，于-80 ℃冰箱中保存</w:t>
      </w:r>
      <w:r>
        <w:rPr>
          <w:rFonts w:hint="eastAsia"/>
          <w:color w:val="000000"/>
          <w:sz w:val="21"/>
          <w:lang w:eastAsia="zh-CN"/>
        </w:rPr>
        <w:t>备用</w:t>
      </w:r>
      <w:r>
        <w:rPr>
          <w:color w:val="000000"/>
          <w:sz w:val="21"/>
          <w:lang w:eastAsia="zh-CN"/>
        </w:rPr>
        <w:t>。</w:t>
      </w:r>
      <w:bookmarkStart w:id="22" w:name="_Hlk129114722"/>
      <w:r>
        <w:rPr>
          <w:rFonts w:hint="eastAsia"/>
          <w:color w:val="000000"/>
          <w:sz w:val="21"/>
          <w:lang w:eastAsia="zh-CN"/>
        </w:rPr>
        <w:t>测定时</w:t>
      </w:r>
      <w:r>
        <w:rPr>
          <w:color w:val="000000"/>
          <w:sz w:val="21"/>
          <w:lang w:eastAsia="zh-CN"/>
        </w:rPr>
        <w:t>从-80 ℃冰箱中取出</w:t>
      </w:r>
      <w:r>
        <w:rPr>
          <w:rFonts w:hint="eastAsia"/>
          <w:color w:val="000000"/>
          <w:sz w:val="21"/>
          <w:lang w:eastAsia="zh-CN"/>
        </w:rPr>
        <w:t>肺组织，室温解冻，每组称取</w:t>
      </w:r>
      <w:r>
        <w:rPr>
          <w:color w:val="000000"/>
          <w:sz w:val="21"/>
          <w:lang w:eastAsia="zh-CN"/>
        </w:rPr>
        <w:t>50</w:t>
      </w:r>
      <w:r>
        <w:rPr>
          <w:rFonts w:hint="eastAsia"/>
          <w:color w:val="000000"/>
          <w:sz w:val="21"/>
          <w:lang w:eastAsia="zh-CN"/>
        </w:rPr>
        <w:t>-</w:t>
      </w:r>
      <w:r>
        <w:rPr>
          <w:color w:val="000000"/>
          <w:sz w:val="21"/>
          <w:lang w:eastAsia="zh-CN"/>
        </w:rPr>
        <w:t>100 mg肺组织，剪成小块</w:t>
      </w:r>
      <w:r>
        <w:rPr>
          <w:rFonts w:hint="eastAsia"/>
          <w:color w:val="000000"/>
          <w:sz w:val="21"/>
          <w:lang w:eastAsia="zh-CN"/>
        </w:rPr>
        <w:t>后</w:t>
      </w:r>
      <w:r>
        <w:rPr>
          <w:color w:val="000000"/>
          <w:sz w:val="21"/>
          <w:lang w:eastAsia="zh-CN"/>
        </w:rPr>
        <w:t>用1×PBS洗去血污</w:t>
      </w:r>
      <w:r>
        <w:rPr>
          <w:rFonts w:hint="eastAsia"/>
          <w:color w:val="000000"/>
          <w:sz w:val="21"/>
          <w:lang w:eastAsia="zh-CN"/>
        </w:rPr>
        <w:t>，</w:t>
      </w:r>
      <w:bookmarkEnd w:id="22"/>
      <w:r>
        <w:rPr>
          <w:rFonts w:hint="eastAsia"/>
          <w:color w:val="000000"/>
          <w:sz w:val="21"/>
          <w:lang w:eastAsia="zh-CN"/>
        </w:rPr>
        <w:t>放入研磨管，</w:t>
      </w:r>
      <w:r>
        <w:rPr>
          <w:color w:val="000000"/>
          <w:sz w:val="21"/>
          <w:lang w:eastAsia="zh-CN"/>
        </w:rPr>
        <w:t>加入</w:t>
      </w:r>
      <w:r>
        <w:rPr>
          <w:rFonts w:hint="eastAsia"/>
          <w:color w:val="000000"/>
          <w:sz w:val="21"/>
          <w:lang w:eastAsia="zh-CN"/>
        </w:rPr>
        <w:t>1</w:t>
      </w:r>
      <w:r>
        <w:rPr>
          <w:color w:val="000000"/>
          <w:sz w:val="21"/>
          <w:lang w:eastAsia="zh-CN"/>
        </w:rPr>
        <w:t xml:space="preserve"> </w:t>
      </w:r>
      <w:r>
        <w:rPr>
          <w:rFonts w:hint="eastAsia"/>
          <w:color w:val="000000"/>
          <w:sz w:val="21"/>
          <w:lang w:eastAsia="zh-CN"/>
        </w:rPr>
        <w:t>m</w:t>
      </w:r>
      <w:r>
        <w:rPr>
          <w:color w:val="000000"/>
          <w:sz w:val="21"/>
          <w:lang w:eastAsia="zh-CN"/>
        </w:rPr>
        <w:t xml:space="preserve">L </w:t>
      </w:r>
      <w:r>
        <w:rPr>
          <w:rFonts w:hint="eastAsia"/>
          <w:color w:val="000000"/>
          <w:sz w:val="21"/>
          <w:lang w:eastAsia="zh-CN"/>
        </w:rPr>
        <w:t>R</w:t>
      </w:r>
      <w:r>
        <w:rPr>
          <w:color w:val="000000"/>
          <w:sz w:val="21"/>
          <w:lang w:eastAsia="zh-CN"/>
        </w:rPr>
        <w:t>IPA</w:t>
      </w:r>
      <w:r>
        <w:rPr>
          <w:rFonts w:hint="eastAsia"/>
          <w:color w:val="000000"/>
          <w:sz w:val="21"/>
          <w:lang w:eastAsia="zh-CN"/>
        </w:rPr>
        <w:t>、1</w:t>
      </w:r>
      <w:r>
        <w:rPr>
          <w:color w:val="000000"/>
          <w:sz w:val="21"/>
          <w:lang w:eastAsia="zh-CN"/>
        </w:rPr>
        <w:t>0 μL</w:t>
      </w:r>
      <w:r>
        <w:rPr>
          <w:rFonts w:hint="eastAsia"/>
          <w:color w:val="000000"/>
          <w:sz w:val="21"/>
          <w:lang w:eastAsia="zh-CN"/>
        </w:rPr>
        <w:t xml:space="preserve"> P</w:t>
      </w:r>
      <w:r>
        <w:rPr>
          <w:color w:val="000000"/>
          <w:sz w:val="21"/>
          <w:lang w:eastAsia="zh-CN"/>
        </w:rPr>
        <w:t>MSF</w:t>
      </w:r>
      <w:r>
        <w:rPr>
          <w:rFonts w:hint="eastAsia"/>
          <w:color w:val="000000"/>
          <w:sz w:val="21"/>
          <w:lang w:eastAsia="zh-CN"/>
        </w:rPr>
        <w:t>、1</w:t>
      </w:r>
      <w:r>
        <w:rPr>
          <w:color w:val="000000"/>
          <w:sz w:val="21"/>
          <w:lang w:eastAsia="zh-CN"/>
        </w:rPr>
        <w:t>0 μL</w:t>
      </w:r>
      <w:r>
        <w:rPr>
          <w:rFonts w:hint="eastAsia"/>
          <w:color w:val="000000"/>
          <w:sz w:val="21"/>
          <w:lang w:eastAsia="zh-CN"/>
        </w:rPr>
        <w:t>蛋白酶抑制剂和干净的钢珠，放入-</w:t>
      </w:r>
      <w:r>
        <w:rPr>
          <w:color w:val="000000"/>
          <w:sz w:val="21"/>
          <w:lang w:eastAsia="zh-CN"/>
        </w:rPr>
        <w:t>80 ℃</w:t>
      </w:r>
      <w:r>
        <w:rPr>
          <w:rFonts w:hint="eastAsia"/>
          <w:color w:val="000000"/>
          <w:sz w:val="21"/>
          <w:lang w:eastAsia="zh-CN"/>
        </w:rPr>
        <w:t>冰箱过夜，第二天取出恢复室温后，</w:t>
      </w:r>
      <w:bookmarkStart w:id="23" w:name="_Hlk130081289"/>
      <w:r>
        <w:rPr>
          <w:rFonts w:hint="eastAsia"/>
          <w:color w:val="000000"/>
          <w:sz w:val="21"/>
          <w:lang w:eastAsia="zh-CN"/>
        </w:rPr>
        <w:t>放入匀浆机，按程序</w:t>
      </w:r>
      <w:r>
        <w:rPr>
          <w:color w:val="000000"/>
          <w:sz w:val="21"/>
          <w:lang w:eastAsia="zh-CN"/>
        </w:rPr>
        <w:t>匀浆，</w:t>
      </w:r>
      <w:r>
        <w:rPr>
          <w:rFonts w:hint="eastAsia"/>
          <w:color w:val="000000"/>
          <w:sz w:val="21"/>
          <w:lang w:eastAsia="zh-CN"/>
        </w:rPr>
        <w:t>置于冰上，裂解3</w:t>
      </w:r>
      <w:r>
        <w:rPr>
          <w:color w:val="000000"/>
          <w:sz w:val="21"/>
          <w:lang w:eastAsia="zh-CN"/>
        </w:rPr>
        <w:t xml:space="preserve">0 </w:t>
      </w:r>
      <w:r>
        <w:rPr>
          <w:rFonts w:hint="eastAsia"/>
          <w:color w:val="000000"/>
          <w:sz w:val="21"/>
          <w:lang w:eastAsia="zh-CN"/>
        </w:rPr>
        <w:t>min，每1</w:t>
      </w:r>
      <w:r>
        <w:rPr>
          <w:color w:val="000000"/>
          <w:sz w:val="21"/>
          <w:lang w:eastAsia="zh-CN"/>
        </w:rPr>
        <w:t xml:space="preserve">0 </w:t>
      </w:r>
      <w:r>
        <w:rPr>
          <w:rFonts w:hint="eastAsia"/>
          <w:color w:val="000000"/>
          <w:sz w:val="21"/>
          <w:lang w:eastAsia="zh-CN"/>
        </w:rPr>
        <w:t>min涡旋</w:t>
      </w:r>
      <w:r>
        <w:rPr>
          <w:color w:val="000000"/>
          <w:sz w:val="21"/>
          <w:lang w:eastAsia="zh-CN"/>
        </w:rPr>
        <w:t xml:space="preserve">40 </w:t>
      </w:r>
      <w:r>
        <w:rPr>
          <w:rFonts w:hint="eastAsia"/>
          <w:color w:val="000000"/>
          <w:sz w:val="21"/>
          <w:lang w:eastAsia="zh-CN"/>
        </w:rPr>
        <w:t>s，</w:t>
      </w:r>
      <w:r>
        <w:rPr>
          <w:color w:val="000000"/>
          <w:sz w:val="21"/>
          <w:lang w:eastAsia="zh-CN"/>
        </w:rPr>
        <w:t>将匀浆</w:t>
      </w:r>
      <w:r>
        <w:rPr>
          <w:rFonts w:hint="eastAsia"/>
          <w:color w:val="000000"/>
          <w:sz w:val="21"/>
          <w:lang w:eastAsia="zh-CN"/>
        </w:rPr>
        <w:t>放入离心机</w:t>
      </w:r>
      <w:r>
        <w:rPr>
          <w:color w:val="000000"/>
          <w:sz w:val="21"/>
          <w:lang w:eastAsia="zh-CN"/>
        </w:rPr>
        <w:t xml:space="preserve">于4℃、12000 </w:t>
      </w:r>
      <w:r>
        <w:rPr>
          <w:rFonts w:hint="eastAsia"/>
          <w:color w:val="000000"/>
          <w:sz w:val="21"/>
          <w:lang w:eastAsia="zh-CN"/>
        </w:rPr>
        <w:t>rpm</w:t>
      </w:r>
      <w:r>
        <w:rPr>
          <w:color w:val="000000"/>
          <w:sz w:val="21"/>
          <w:lang w:eastAsia="zh-CN"/>
        </w:rPr>
        <w:t>离心15 min</w:t>
      </w:r>
      <w:r>
        <w:rPr>
          <w:rFonts w:hint="eastAsia"/>
          <w:color w:val="000000"/>
          <w:sz w:val="21"/>
          <w:lang w:eastAsia="zh-CN"/>
        </w:rPr>
        <w:t>，离心后</w:t>
      </w:r>
      <w:r>
        <w:rPr>
          <w:color w:val="000000"/>
          <w:sz w:val="21"/>
          <w:lang w:eastAsia="zh-CN"/>
        </w:rPr>
        <w:t>取上清</w:t>
      </w:r>
      <w:r>
        <w:rPr>
          <w:rFonts w:hint="eastAsia"/>
          <w:color w:val="000000"/>
          <w:sz w:val="21"/>
          <w:lang w:eastAsia="zh-CN"/>
        </w:rPr>
        <w:t>到新的E</w:t>
      </w:r>
      <w:r>
        <w:rPr>
          <w:color w:val="000000"/>
          <w:sz w:val="21"/>
          <w:lang w:eastAsia="zh-CN"/>
        </w:rPr>
        <w:t>P</w:t>
      </w:r>
      <w:r>
        <w:rPr>
          <w:rFonts w:hint="eastAsia"/>
          <w:color w:val="000000"/>
          <w:sz w:val="21"/>
          <w:lang w:eastAsia="zh-CN"/>
        </w:rPr>
        <w:t>管中。</w:t>
      </w:r>
      <w:bookmarkEnd w:id="23"/>
      <w:r>
        <w:rPr>
          <w:rFonts w:hint="eastAsia"/>
          <w:color w:val="000000"/>
          <w:sz w:val="21"/>
          <w:lang w:eastAsia="zh-CN"/>
        </w:rPr>
        <w:t>按照试剂盒方法测定。</w:t>
      </w:r>
      <w:r>
        <w:rPr>
          <w:color w:val="000000"/>
          <w:sz w:val="21"/>
          <w:lang w:eastAsia="zh-CN"/>
        </w:rPr>
        <w:t>模型组大鼠肺组织中COL-Ⅰ和FN</w:t>
      </w:r>
      <w:r>
        <w:rPr>
          <w:rFonts w:hint="eastAsia"/>
          <w:color w:val="000000"/>
          <w:sz w:val="21"/>
          <w:lang w:eastAsia="zh-CN"/>
        </w:rPr>
        <w:t>，尤其是2</w:t>
      </w:r>
      <w:r>
        <w:rPr>
          <w:color w:val="000000"/>
          <w:sz w:val="21"/>
          <w:lang w:eastAsia="zh-CN"/>
        </w:rPr>
        <w:t>8</w:t>
      </w:r>
      <w:r>
        <w:rPr>
          <w:rFonts w:hint="eastAsia"/>
          <w:color w:val="000000"/>
          <w:sz w:val="21"/>
          <w:lang w:eastAsia="zh-CN"/>
        </w:rPr>
        <w:t>天肺组织中的</w:t>
      </w:r>
      <w:r>
        <w:rPr>
          <w:color w:val="000000"/>
          <w:sz w:val="21"/>
          <w:lang w:eastAsia="zh-CN"/>
        </w:rPr>
        <w:t>COL-Ⅰ</w:t>
      </w:r>
      <w:r>
        <w:rPr>
          <w:rFonts w:hint="eastAsia"/>
          <w:color w:val="000000"/>
          <w:sz w:val="21"/>
          <w:lang w:eastAsia="zh-CN"/>
        </w:rPr>
        <w:t>和</w:t>
      </w:r>
      <w:r>
        <w:rPr>
          <w:color w:val="000000"/>
          <w:sz w:val="21"/>
          <w:lang w:eastAsia="zh-CN"/>
        </w:rPr>
        <w:t>FN</w:t>
      </w:r>
      <w:r>
        <w:rPr>
          <w:rFonts w:hint="eastAsia"/>
          <w:color w:val="000000"/>
          <w:sz w:val="21"/>
          <w:lang w:eastAsia="zh-CN"/>
        </w:rPr>
        <w:t>的含量大幅增加。</w:t>
      </w:r>
    </w:p>
    <w:p w14:paraId="517535CA">
      <w:pPr>
        <w:spacing w:line="360" w:lineRule="auto"/>
        <w:jc w:val="both"/>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G.2.8</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肺纤维化相关其他指标检测</w:t>
      </w:r>
    </w:p>
    <w:p w14:paraId="2CCC51EB">
      <w:pPr>
        <w:spacing w:line="360" w:lineRule="auto"/>
        <w:ind w:firstLine="420" w:firstLineChars="200"/>
        <w:jc w:val="both"/>
        <w:rPr>
          <w:sz w:val="21"/>
          <w:lang w:eastAsia="zh-CN"/>
        </w:rPr>
      </w:pPr>
      <w:r>
        <w:rPr>
          <w:rFonts w:hint="eastAsia"/>
          <w:sz w:val="21"/>
          <w:lang w:eastAsia="zh-CN"/>
        </w:rPr>
        <w:t>将大鼠麻醉，仰卧位放置于解剖盘上，提起下腹部皮肤，皮肤和腹壁同时作V字状切开。分离腹主动脉，将动脉的近心端用动脉夹夹闭，远心端用止血钳夹闭，使用注射器从腹主动脉中抽取动脉血，注入采血管中。静置数分钟后，3000</w:t>
      </w:r>
      <w:r>
        <w:rPr>
          <w:sz w:val="21"/>
          <w:lang w:eastAsia="zh-CN"/>
        </w:rPr>
        <w:t xml:space="preserve"> </w:t>
      </w:r>
      <w:r>
        <w:rPr>
          <w:rFonts w:hint="eastAsia"/>
          <w:sz w:val="21"/>
          <w:lang w:eastAsia="zh-CN"/>
        </w:rPr>
        <w:t>rpm离心15</w:t>
      </w:r>
      <w:r>
        <w:rPr>
          <w:sz w:val="21"/>
          <w:lang w:eastAsia="zh-CN"/>
        </w:rPr>
        <w:t xml:space="preserve"> </w:t>
      </w:r>
      <w:r>
        <w:rPr>
          <w:rFonts w:hint="eastAsia"/>
          <w:sz w:val="21"/>
          <w:lang w:eastAsia="zh-CN"/>
        </w:rPr>
        <w:t>min，分离血清并分装，加盖，帖好标签。根据试验的要求和检测时间的不同，-80</w:t>
      </w:r>
      <w:r>
        <w:rPr>
          <w:sz w:val="21"/>
          <w:lang w:eastAsia="zh-CN"/>
        </w:rPr>
        <w:t>℃</w:t>
      </w:r>
      <w:r>
        <w:rPr>
          <w:rFonts w:hint="eastAsia"/>
          <w:sz w:val="21"/>
          <w:lang w:eastAsia="zh-CN"/>
        </w:rPr>
        <w:t>的冰箱中保存。待测时复溶血清，按照试剂盒方法测试</w:t>
      </w:r>
      <w:r>
        <w:rPr>
          <w:rFonts w:hint="eastAsia"/>
          <w:color w:val="000000"/>
          <w:sz w:val="21"/>
          <w:lang w:eastAsia="zh-CN"/>
        </w:rPr>
        <w:t>I</w:t>
      </w:r>
      <w:r>
        <w:rPr>
          <w:color w:val="000000"/>
          <w:sz w:val="21"/>
          <w:lang w:eastAsia="zh-CN"/>
        </w:rPr>
        <w:t>L-1β</w:t>
      </w:r>
      <w:r>
        <w:rPr>
          <w:rFonts w:hint="eastAsia"/>
          <w:color w:val="000000"/>
          <w:sz w:val="21"/>
          <w:lang w:eastAsia="zh-CN"/>
        </w:rPr>
        <w:t>和T</w:t>
      </w:r>
      <w:r>
        <w:rPr>
          <w:color w:val="000000"/>
          <w:sz w:val="21"/>
          <w:lang w:eastAsia="zh-CN"/>
        </w:rPr>
        <w:t>NF-α</w:t>
      </w:r>
      <w:r>
        <w:rPr>
          <w:rFonts w:hint="eastAsia"/>
          <w:color w:val="000000"/>
          <w:sz w:val="21"/>
          <w:lang w:eastAsia="zh-CN"/>
        </w:rPr>
        <w:t>含量。</w:t>
      </w:r>
    </w:p>
    <w:p w14:paraId="411FD75F">
      <w:pPr>
        <w:spacing w:line="360" w:lineRule="auto"/>
        <w:ind w:firstLine="420" w:firstLineChars="200"/>
        <w:jc w:val="both"/>
        <w:rPr>
          <w:color w:val="000000"/>
          <w:sz w:val="21"/>
          <w:lang w:eastAsia="zh-CN"/>
        </w:rPr>
      </w:pPr>
      <w:r>
        <w:rPr>
          <w:rFonts w:hint="eastAsia"/>
          <w:color w:val="000000"/>
          <w:sz w:val="21"/>
          <w:lang w:eastAsia="zh-CN"/>
        </w:rPr>
        <w:t>将右肺使用10%福尔马林组织固定液固定后过夜，免疫荧光法测定肺组织中</w:t>
      </w:r>
      <w:r>
        <w:rPr>
          <w:color w:val="000000"/>
          <w:sz w:val="21"/>
          <w:lang w:eastAsia="zh-CN"/>
        </w:rPr>
        <w:t>α-SMA</w:t>
      </w:r>
      <w:r>
        <w:rPr>
          <w:rFonts w:hint="eastAsia"/>
          <w:color w:val="000000"/>
          <w:sz w:val="21"/>
          <w:lang w:eastAsia="zh-CN"/>
        </w:rPr>
        <w:t>和</w:t>
      </w:r>
      <w:r>
        <w:rPr>
          <w:color w:val="000000"/>
          <w:sz w:val="21"/>
          <w:lang w:eastAsia="zh-CN"/>
        </w:rPr>
        <w:t>COL-Ⅰ</w:t>
      </w:r>
      <w:r>
        <w:rPr>
          <w:rFonts w:hint="eastAsia"/>
          <w:color w:val="000000"/>
          <w:sz w:val="21"/>
          <w:lang w:eastAsia="zh-CN"/>
        </w:rPr>
        <w:t>的表达水平。冻存的肺组织采用</w:t>
      </w:r>
      <w:r>
        <w:rPr>
          <w:color w:val="000000"/>
          <w:sz w:val="21"/>
          <w:lang w:eastAsia="zh-CN"/>
        </w:rPr>
        <w:t>Western B</w:t>
      </w:r>
      <w:r>
        <w:rPr>
          <w:rFonts w:hint="eastAsia"/>
          <w:color w:val="000000"/>
          <w:sz w:val="21"/>
          <w:lang w:eastAsia="zh-CN"/>
        </w:rPr>
        <w:t>l</w:t>
      </w:r>
      <w:r>
        <w:rPr>
          <w:color w:val="000000"/>
          <w:sz w:val="21"/>
          <w:lang w:eastAsia="zh-CN"/>
        </w:rPr>
        <w:t>ot法测定肺组织中 α-SMA、Vimentin、COL-Ⅰ</w:t>
      </w:r>
      <w:r>
        <w:rPr>
          <w:rFonts w:hint="eastAsia"/>
          <w:color w:val="000000"/>
          <w:sz w:val="21"/>
          <w:lang w:eastAsia="zh-CN"/>
        </w:rPr>
        <w:t>、E</w:t>
      </w:r>
      <w:r>
        <w:rPr>
          <w:color w:val="000000"/>
          <w:sz w:val="21"/>
          <w:lang w:eastAsia="zh-CN"/>
        </w:rPr>
        <w:t>-</w:t>
      </w:r>
      <w:r>
        <w:rPr>
          <w:rFonts w:hint="eastAsia"/>
          <w:color w:val="000000"/>
          <w:sz w:val="21"/>
          <w:lang w:eastAsia="zh-CN"/>
        </w:rPr>
        <w:t>cad 、PAR-1的表达水平。冻存的肺组织采用</w:t>
      </w:r>
      <w:r>
        <w:rPr>
          <w:color w:val="000000"/>
          <w:sz w:val="21"/>
          <w:lang w:eastAsia="zh-CN"/>
        </w:rPr>
        <w:t>ELISA法检测肺组织中</w:t>
      </w:r>
      <w:r>
        <w:rPr>
          <w:rFonts w:hint="eastAsia"/>
          <w:color w:val="000000"/>
          <w:sz w:val="21"/>
          <w:lang w:eastAsia="zh-CN"/>
        </w:rPr>
        <w:t>F</w:t>
      </w:r>
      <w:r>
        <w:rPr>
          <w:color w:val="000000"/>
          <w:sz w:val="21"/>
          <w:lang w:eastAsia="zh-CN"/>
        </w:rPr>
        <w:t>1+2、TAT</w:t>
      </w:r>
      <w:r>
        <w:rPr>
          <w:rFonts w:hint="eastAsia"/>
          <w:color w:val="000000"/>
          <w:sz w:val="21"/>
          <w:lang w:eastAsia="zh-CN"/>
        </w:rPr>
        <w:t>和S</w:t>
      </w:r>
      <w:r>
        <w:rPr>
          <w:color w:val="000000"/>
          <w:sz w:val="21"/>
          <w:lang w:eastAsia="zh-CN"/>
        </w:rPr>
        <w:t>FMC</w:t>
      </w:r>
      <w:r>
        <w:rPr>
          <w:rFonts w:hint="eastAsia"/>
          <w:color w:val="000000"/>
          <w:sz w:val="21"/>
          <w:lang w:eastAsia="zh-CN"/>
        </w:rPr>
        <w:t>含量。冻存的肺组织采用RT-PCR</w:t>
      </w:r>
      <w:r>
        <w:rPr>
          <w:color w:val="000000"/>
          <w:sz w:val="21"/>
          <w:lang w:eastAsia="zh-CN"/>
        </w:rPr>
        <w:t>法测定肺组织中 PAR-1</w:t>
      </w:r>
      <w:r>
        <w:rPr>
          <w:rFonts w:hint="eastAsia"/>
          <w:color w:val="000000"/>
          <w:sz w:val="21"/>
          <w:lang w:eastAsia="zh-CN"/>
        </w:rPr>
        <w:t xml:space="preserve"> m</w:t>
      </w:r>
      <w:r>
        <w:rPr>
          <w:color w:val="000000"/>
          <w:sz w:val="21"/>
          <w:lang w:eastAsia="zh-CN"/>
        </w:rPr>
        <w:t>RNA</w:t>
      </w:r>
      <w:r>
        <w:rPr>
          <w:rFonts w:hint="eastAsia"/>
          <w:color w:val="000000"/>
          <w:sz w:val="21"/>
          <w:lang w:eastAsia="zh-CN"/>
        </w:rPr>
        <w:t>的转录水平。</w:t>
      </w:r>
    </w:p>
    <w:p w14:paraId="39C96D9A">
      <w:pPr>
        <w:spacing w:line="360" w:lineRule="auto"/>
        <w:ind w:firstLine="420" w:firstLineChars="200"/>
        <w:jc w:val="both"/>
        <w:rPr>
          <w:sz w:val="21"/>
          <w:lang w:eastAsia="zh-CN"/>
        </w:rPr>
      </w:pPr>
      <w:bookmarkStart w:id="24" w:name="_Hlk153886217"/>
      <w:bookmarkStart w:id="25" w:name="_Hlk129283743"/>
      <w:r>
        <w:rPr>
          <w:sz w:val="21"/>
          <w:lang w:eastAsia="zh-CN"/>
        </w:rPr>
        <w:t>模型组大鼠</w:t>
      </w:r>
      <w:r>
        <w:rPr>
          <w:rFonts w:hint="eastAsia"/>
          <w:sz w:val="21"/>
          <w:lang w:eastAsia="zh-CN"/>
        </w:rPr>
        <w:t>血清I</w:t>
      </w:r>
      <w:r>
        <w:rPr>
          <w:sz w:val="21"/>
          <w:lang w:eastAsia="zh-CN"/>
        </w:rPr>
        <w:t>L-1β</w:t>
      </w:r>
      <w:r>
        <w:rPr>
          <w:rFonts w:hint="eastAsia"/>
          <w:sz w:val="21"/>
          <w:lang w:eastAsia="zh-CN"/>
        </w:rPr>
        <w:t>和T</w:t>
      </w:r>
      <w:r>
        <w:rPr>
          <w:sz w:val="21"/>
          <w:lang w:eastAsia="zh-CN"/>
        </w:rPr>
        <w:t>NF-α</w:t>
      </w:r>
      <w:r>
        <w:rPr>
          <w:rFonts w:hint="eastAsia"/>
          <w:sz w:val="21"/>
          <w:lang w:eastAsia="zh-CN"/>
        </w:rPr>
        <w:t>含量显著升高。</w:t>
      </w:r>
      <w:r>
        <w:rPr>
          <w:sz w:val="21"/>
          <w:lang w:eastAsia="zh-CN"/>
        </w:rPr>
        <w:t>肺组织中</w:t>
      </w:r>
      <w:bookmarkEnd w:id="24"/>
      <w:r>
        <w:rPr>
          <w:rFonts w:hint="eastAsia"/>
          <w:sz w:val="21"/>
          <w:lang w:eastAsia="zh-CN"/>
        </w:rPr>
        <w:t>F</w:t>
      </w:r>
      <w:r>
        <w:rPr>
          <w:sz w:val="21"/>
          <w:lang w:eastAsia="zh-CN"/>
        </w:rPr>
        <w:t>1+2</w:t>
      </w:r>
      <w:r>
        <w:rPr>
          <w:rFonts w:hint="eastAsia"/>
          <w:sz w:val="21"/>
          <w:lang w:eastAsia="zh-CN"/>
        </w:rPr>
        <w:t>、T</w:t>
      </w:r>
      <w:r>
        <w:rPr>
          <w:sz w:val="21"/>
          <w:lang w:eastAsia="zh-CN"/>
        </w:rPr>
        <w:t>AT</w:t>
      </w:r>
      <w:r>
        <w:rPr>
          <w:rFonts w:hint="eastAsia"/>
          <w:sz w:val="21"/>
          <w:lang w:eastAsia="zh-CN"/>
        </w:rPr>
        <w:t>和S</w:t>
      </w:r>
      <w:r>
        <w:rPr>
          <w:sz w:val="21"/>
          <w:lang w:eastAsia="zh-CN"/>
        </w:rPr>
        <w:t>FMC</w:t>
      </w:r>
      <w:r>
        <w:rPr>
          <w:rFonts w:hint="eastAsia"/>
          <w:sz w:val="21"/>
          <w:lang w:eastAsia="zh-CN"/>
        </w:rPr>
        <w:t>含量均</w:t>
      </w:r>
      <w:r>
        <w:rPr>
          <w:sz w:val="21"/>
          <w:lang w:eastAsia="zh-CN"/>
        </w:rPr>
        <w:t>显著</w:t>
      </w:r>
      <w:r>
        <w:rPr>
          <w:rFonts w:hint="eastAsia"/>
          <w:sz w:val="21"/>
          <w:lang w:eastAsia="zh-CN"/>
        </w:rPr>
        <w:t>增多</w:t>
      </w:r>
      <w:bookmarkEnd w:id="25"/>
      <w:r>
        <w:rPr>
          <w:rFonts w:hint="eastAsia"/>
          <w:sz w:val="21"/>
          <w:lang w:eastAsia="zh-CN"/>
        </w:rPr>
        <w:t>，</w:t>
      </w:r>
      <w:r>
        <w:rPr>
          <w:sz w:val="21"/>
          <w:lang w:eastAsia="zh-CN"/>
        </w:rPr>
        <w:t>α-SMA、Vimentin、COL-Ⅰ</w:t>
      </w:r>
      <w:r>
        <w:rPr>
          <w:rFonts w:hint="eastAsia"/>
          <w:sz w:val="21"/>
          <w:lang w:eastAsia="zh-CN"/>
        </w:rPr>
        <w:t>、E</w:t>
      </w:r>
      <w:r>
        <w:rPr>
          <w:sz w:val="21"/>
          <w:lang w:eastAsia="zh-CN"/>
        </w:rPr>
        <w:t>-</w:t>
      </w:r>
      <w:r>
        <w:rPr>
          <w:rFonts w:hint="eastAsia"/>
          <w:sz w:val="21"/>
          <w:lang w:eastAsia="zh-CN"/>
        </w:rPr>
        <w:t>cad 、PAR-1蛋白表达均出现明显异常。</w:t>
      </w:r>
    </w:p>
    <w:p w14:paraId="53CF72C4">
      <w:pPr>
        <w:spacing w:line="360" w:lineRule="auto"/>
        <w:ind w:firstLine="422"/>
        <w:jc w:val="center"/>
        <w:rPr>
          <w:rFonts w:ascii="宋体" w:hAnsi="宋体"/>
          <w:b/>
          <w:bCs/>
          <w:color w:val="000000"/>
          <w:sz w:val="21"/>
          <w:lang w:eastAsia="zh-CN"/>
        </w:rPr>
      </w:pPr>
    </w:p>
    <w:p w14:paraId="3AB8B423">
      <w:pPr>
        <w:spacing w:line="360" w:lineRule="auto"/>
        <w:ind w:firstLine="422"/>
        <w:jc w:val="center"/>
        <w:rPr>
          <w:rFonts w:ascii="宋体" w:hAnsi="宋体"/>
          <w:b/>
          <w:bCs/>
          <w:color w:val="000000"/>
          <w:sz w:val="21"/>
          <w:lang w:eastAsia="zh-CN"/>
        </w:rPr>
      </w:pPr>
    </w:p>
    <w:p w14:paraId="5569948F">
      <w:pPr>
        <w:spacing w:line="360" w:lineRule="auto"/>
        <w:ind w:firstLine="422"/>
        <w:jc w:val="center"/>
        <w:rPr>
          <w:rFonts w:ascii="宋体" w:hAnsi="宋体"/>
          <w:b/>
          <w:bCs/>
          <w:color w:val="000000"/>
          <w:sz w:val="21"/>
          <w:lang w:eastAsia="zh-CN"/>
        </w:rPr>
      </w:pPr>
    </w:p>
    <w:p w14:paraId="1DF44FE9">
      <w:pPr>
        <w:spacing w:line="360" w:lineRule="auto"/>
        <w:ind w:firstLine="420" w:firstLineChars="200"/>
        <w:jc w:val="both"/>
        <w:rPr>
          <w:sz w:val="21"/>
          <w:lang w:eastAsia="zh-CN"/>
        </w:rPr>
      </w:pPr>
    </w:p>
    <w:p w14:paraId="3FC39189">
      <w:pPr>
        <w:spacing w:line="360" w:lineRule="auto"/>
        <w:ind w:firstLine="422"/>
        <w:jc w:val="center"/>
        <w:rPr>
          <w:rFonts w:ascii="宋体" w:hAnsi="宋体"/>
          <w:b/>
          <w:bCs/>
          <w:color w:val="000000"/>
          <w:sz w:val="21"/>
          <w:lang w:eastAsia="zh-CN"/>
        </w:rPr>
      </w:pPr>
    </w:p>
    <w:p w14:paraId="75AED498">
      <w:pPr>
        <w:spacing w:line="360" w:lineRule="auto"/>
        <w:ind w:firstLine="422"/>
        <w:jc w:val="center"/>
        <w:rPr>
          <w:rFonts w:ascii="宋体" w:hAnsi="宋体"/>
          <w:b/>
          <w:bCs/>
          <w:color w:val="000000"/>
          <w:sz w:val="21"/>
          <w:lang w:eastAsia="zh-CN"/>
        </w:rPr>
      </w:pPr>
    </w:p>
    <w:p w14:paraId="7323CD65">
      <w:pPr>
        <w:spacing w:line="360" w:lineRule="auto"/>
        <w:ind w:firstLine="422"/>
        <w:jc w:val="center"/>
        <w:rPr>
          <w:rFonts w:ascii="宋体" w:hAnsi="宋体"/>
          <w:b/>
          <w:bCs/>
          <w:color w:val="000000"/>
          <w:sz w:val="21"/>
          <w:lang w:eastAsia="zh-CN"/>
        </w:rPr>
      </w:pPr>
    </w:p>
    <w:p w14:paraId="2F375526">
      <w:pPr>
        <w:spacing w:line="360" w:lineRule="auto"/>
        <w:ind w:firstLine="422"/>
        <w:jc w:val="center"/>
        <w:rPr>
          <w:rFonts w:ascii="宋体" w:hAnsi="宋体"/>
          <w:b/>
          <w:bCs/>
          <w:color w:val="000000"/>
          <w:sz w:val="21"/>
          <w:lang w:eastAsia="zh-CN"/>
        </w:rPr>
      </w:pPr>
    </w:p>
    <w:p w14:paraId="376C3C26">
      <w:pPr>
        <w:spacing w:line="360" w:lineRule="auto"/>
        <w:ind w:firstLine="422"/>
        <w:jc w:val="center"/>
        <w:rPr>
          <w:rFonts w:ascii="宋体" w:hAnsi="宋体"/>
          <w:b/>
          <w:bCs/>
          <w:color w:val="000000"/>
          <w:sz w:val="21"/>
          <w:lang w:eastAsia="zh-CN"/>
        </w:rPr>
      </w:pPr>
    </w:p>
    <w:p w14:paraId="3452ACB3">
      <w:pPr>
        <w:spacing w:line="360" w:lineRule="auto"/>
        <w:ind w:firstLine="422"/>
        <w:jc w:val="center"/>
        <w:rPr>
          <w:rFonts w:ascii="宋体" w:hAnsi="宋体"/>
          <w:b/>
          <w:bCs/>
          <w:color w:val="000000"/>
          <w:sz w:val="21"/>
          <w:lang w:eastAsia="zh-CN"/>
        </w:rPr>
      </w:pPr>
    </w:p>
    <w:p w14:paraId="1ACAA386">
      <w:pPr>
        <w:spacing w:line="360" w:lineRule="auto"/>
        <w:ind w:firstLine="422"/>
        <w:jc w:val="center"/>
        <w:rPr>
          <w:rFonts w:ascii="宋体" w:hAnsi="宋体"/>
          <w:b/>
          <w:bCs/>
          <w:color w:val="000000"/>
          <w:sz w:val="21"/>
          <w:lang w:eastAsia="zh-CN"/>
        </w:rPr>
      </w:pPr>
    </w:p>
    <w:p w14:paraId="38967BC3">
      <w:pPr>
        <w:spacing w:line="360" w:lineRule="auto"/>
        <w:ind w:firstLine="422"/>
        <w:jc w:val="center"/>
        <w:rPr>
          <w:rFonts w:ascii="宋体" w:hAnsi="宋体"/>
          <w:b/>
          <w:bCs/>
          <w:color w:val="000000"/>
          <w:sz w:val="21"/>
          <w:lang w:eastAsia="zh-CN"/>
        </w:rPr>
      </w:pPr>
    </w:p>
    <w:p w14:paraId="6AC4B0C8">
      <w:pPr>
        <w:spacing w:line="360" w:lineRule="auto"/>
        <w:ind w:firstLine="422"/>
        <w:jc w:val="center"/>
        <w:rPr>
          <w:rFonts w:ascii="宋体" w:hAnsi="宋体"/>
          <w:b/>
          <w:bCs/>
          <w:color w:val="000000"/>
          <w:sz w:val="21"/>
          <w:lang w:eastAsia="zh-CN"/>
        </w:rPr>
      </w:pPr>
    </w:p>
    <w:p w14:paraId="6360A604">
      <w:pPr>
        <w:spacing w:line="360" w:lineRule="auto"/>
        <w:ind w:firstLine="422"/>
        <w:jc w:val="center"/>
        <w:rPr>
          <w:rFonts w:ascii="宋体" w:hAnsi="宋体"/>
          <w:b/>
          <w:bCs/>
          <w:color w:val="000000"/>
          <w:sz w:val="21"/>
          <w:lang w:eastAsia="zh-CN"/>
        </w:rPr>
      </w:pPr>
    </w:p>
    <w:p w14:paraId="2531AAAB">
      <w:pPr>
        <w:spacing w:line="360" w:lineRule="auto"/>
        <w:ind w:firstLine="422"/>
        <w:jc w:val="center"/>
        <w:rPr>
          <w:rFonts w:ascii="宋体" w:hAnsi="宋体"/>
          <w:b/>
          <w:bCs/>
          <w:color w:val="000000"/>
          <w:sz w:val="21"/>
          <w:lang w:eastAsia="zh-CN"/>
        </w:rPr>
      </w:pPr>
    </w:p>
    <w:p w14:paraId="5D28E73B">
      <w:pPr>
        <w:spacing w:line="360" w:lineRule="auto"/>
        <w:ind w:firstLine="422"/>
        <w:jc w:val="center"/>
        <w:rPr>
          <w:rFonts w:ascii="宋体" w:hAnsi="宋体"/>
          <w:b/>
          <w:bCs/>
          <w:color w:val="000000"/>
          <w:sz w:val="21"/>
          <w:lang w:eastAsia="zh-CN"/>
        </w:rPr>
      </w:pPr>
    </w:p>
    <w:p w14:paraId="78A063E3">
      <w:pPr>
        <w:spacing w:line="360" w:lineRule="auto"/>
        <w:ind w:firstLine="422"/>
        <w:jc w:val="center"/>
        <w:rPr>
          <w:rFonts w:ascii="宋体" w:hAnsi="宋体"/>
          <w:b/>
          <w:bCs/>
          <w:color w:val="000000"/>
          <w:sz w:val="21"/>
          <w:lang w:eastAsia="zh-CN"/>
        </w:rPr>
      </w:pPr>
    </w:p>
    <w:p w14:paraId="2FEE9C2D">
      <w:pPr>
        <w:spacing w:line="360" w:lineRule="auto"/>
        <w:ind w:firstLine="420" w:firstLineChars="200"/>
        <w:jc w:val="both"/>
        <w:rPr>
          <w:rFonts w:ascii="宋体" w:hAnsi="宋体"/>
          <w:b/>
          <w:bCs/>
          <w:color w:val="000000"/>
          <w:sz w:val="21"/>
          <w:lang w:eastAsia="zh-CN"/>
        </w:rPr>
      </w:pPr>
    </w:p>
    <w:p w14:paraId="6F28CABF">
      <w:pPr>
        <w:spacing w:line="360" w:lineRule="auto"/>
        <w:ind w:firstLine="420" w:firstLineChars="200"/>
        <w:jc w:val="both"/>
        <w:rPr>
          <w:rFonts w:ascii="宋体" w:hAnsi="宋体"/>
          <w:b/>
          <w:bCs/>
          <w:color w:val="000000"/>
          <w:sz w:val="21"/>
          <w:lang w:eastAsia="zh-CN"/>
        </w:rPr>
      </w:pPr>
    </w:p>
    <w:p w14:paraId="372B644B">
      <w:pPr>
        <w:spacing w:line="360" w:lineRule="auto"/>
        <w:ind w:firstLine="420" w:firstLineChars="200"/>
        <w:jc w:val="both"/>
        <w:rPr>
          <w:rFonts w:ascii="宋体" w:hAnsi="宋体"/>
          <w:b/>
          <w:bCs/>
          <w:color w:val="000000"/>
          <w:sz w:val="21"/>
          <w:lang w:eastAsia="zh-CN"/>
        </w:rPr>
      </w:pPr>
    </w:p>
    <w:p w14:paraId="0525AFFC">
      <w:pPr>
        <w:spacing w:line="360" w:lineRule="auto"/>
        <w:ind w:firstLine="420" w:firstLineChars="200"/>
        <w:jc w:val="both"/>
        <w:rPr>
          <w:rFonts w:ascii="宋体" w:hAnsi="宋体"/>
          <w:b/>
          <w:bCs/>
          <w:color w:val="000000"/>
          <w:sz w:val="21"/>
          <w:lang w:eastAsia="zh-CN"/>
        </w:rPr>
      </w:pPr>
    </w:p>
    <w:p w14:paraId="0DB1FF20">
      <w:pPr>
        <w:spacing w:line="360" w:lineRule="auto"/>
        <w:ind w:firstLine="420" w:firstLineChars="200"/>
        <w:jc w:val="both"/>
        <w:rPr>
          <w:rFonts w:ascii="宋体" w:hAnsi="宋体"/>
          <w:b/>
          <w:bCs/>
          <w:color w:val="000000"/>
          <w:sz w:val="21"/>
          <w:lang w:eastAsia="zh-CN"/>
        </w:rPr>
      </w:pPr>
    </w:p>
    <w:p w14:paraId="7CDE4D78">
      <w:pPr>
        <w:spacing w:line="360" w:lineRule="auto"/>
        <w:ind w:firstLine="420" w:firstLineChars="200"/>
        <w:jc w:val="both"/>
        <w:rPr>
          <w:rFonts w:ascii="宋体" w:hAnsi="宋体"/>
          <w:b/>
          <w:bCs/>
          <w:color w:val="000000"/>
          <w:sz w:val="21"/>
          <w:lang w:eastAsia="zh-CN"/>
        </w:rPr>
      </w:pPr>
    </w:p>
    <w:p w14:paraId="481B51D4">
      <w:pPr>
        <w:spacing w:line="360" w:lineRule="auto"/>
        <w:ind w:firstLine="420" w:firstLineChars="200"/>
        <w:jc w:val="both"/>
        <w:rPr>
          <w:rFonts w:ascii="宋体" w:hAnsi="宋体"/>
          <w:b/>
          <w:bCs/>
          <w:color w:val="000000"/>
          <w:sz w:val="21"/>
          <w:lang w:eastAsia="zh-CN"/>
        </w:rPr>
      </w:pPr>
    </w:p>
    <w:p w14:paraId="4E0DA960">
      <w:pPr>
        <w:spacing w:line="360" w:lineRule="auto"/>
        <w:ind w:firstLine="420" w:firstLineChars="200"/>
        <w:jc w:val="both"/>
        <w:rPr>
          <w:rFonts w:ascii="宋体" w:hAnsi="宋体"/>
          <w:b/>
          <w:bCs/>
          <w:color w:val="000000"/>
          <w:sz w:val="21"/>
          <w:lang w:eastAsia="zh-CN"/>
        </w:rPr>
      </w:pPr>
    </w:p>
    <w:p w14:paraId="585F0CD1">
      <w:pPr>
        <w:spacing w:line="360" w:lineRule="auto"/>
        <w:ind w:firstLine="420" w:firstLineChars="200"/>
        <w:jc w:val="both"/>
        <w:rPr>
          <w:rFonts w:ascii="宋体" w:hAnsi="宋体"/>
          <w:b/>
          <w:bCs/>
          <w:color w:val="000000"/>
          <w:sz w:val="21"/>
          <w:lang w:eastAsia="zh-CN"/>
        </w:rPr>
      </w:pPr>
    </w:p>
    <w:p w14:paraId="19F9DDE0">
      <w:pPr>
        <w:spacing w:line="360" w:lineRule="auto"/>
        <w:ind w:firstLine="420" w:firstLineChars="200"/>
        <w:jc w:val="both"/>
        <w:rPr>
          <w:rFonts w:ascii="宋体" w:hAnsi="宋体"/>
          <w:b/>
          <w:bCs/>
          <w:color w:val="000000"/>
          <w:sz w:val="21"/>
          <w:lang w:eastAsia="zh-CN"/>
        </w:rPr>
      </w:pPr>
    </w:p>
    <w:p w14:paraId="007B4C1C">
      <w:pPr>
        <w:spacing w:line="360" w:lineRule="auto"/>
        <w:ind w:firstLine="422"/>
        <w:jc w:val="center"/>
        <w:rPr>
          <w:rFonts w:ascii="宋体" w:hAnsi="宋体"/>
          <w:b/>
          <w:bCs/>
          <w:color w:val="000000"/>
          <w:sz w:val="21"/>
          <w:lang w:eastAsia="zh-CN"/>
        </w:rPr>
      </w:pPr>
    </w:p>
    <w:p w14:paraId="4CC251AC">
      <w:pPr>
        <w:spacing w:line="360" w:lineRule="auto"/>
        <w:ind w:firstLine="422"/>
        <w:jc w:val="center"/>
        <w:rPr>
          <w:rFonts w:hint="eastAsia" w:ascii="宋体" w:hAnsi="宋体"/>
          <w:b/>
          <w:bCs/>
          <w:color w:val="000000"/>
          <w:sz w:val="21"/>
          <w:lang w:eastAsia="zh-CN"/>
        </w:rPr>
      </w:pPr>
      <w:r>
        <w:rPr>
          <w:rFonts w:hint="eastAsia" w:ascii="宋体" w:hAnsi="宋体"/>
          <w:b/>
          <w:bCs/>
          <w:color w:val="000000"/>
          <w:sz w:val="21"/>
          <w:lang w:eastAsia="zh-CN"/>
        </w:rPr>
        <w:t>参考文献</w:t>
      </w:r>
    </w:p>
    <w:p w14:paraId="014329DE">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1</w:t>
      </w:r>
      <w:r>
        <w:rPr>
          <w:rFonts w:hint="eastAsia" w:ascii="Times New Roman" w:hAnsi="Times New Roman" w:eastAsia="宋体" w:cs="Times New Roman"/>
          <w:color w:val="000000"/>
          <w:sz w:val="21"/>
          <w:szCs w:val="24"/>
          <w:lang w:val="en-US" w:eastAsia="zh-CN" w:bidi="en-US"/>
        </w:rPr>
        <w:t>]</w:t>
      </w:r>
      <w:r>
        <w:rPr>
          <w:color w:val="000000"/>
          <w:sz w:val="21"/>
          <w:lang w:eastAsia="zh-CN"/>
        </w:rPr>
        <w:t>Gilhodes JC, Julé Y, Kreuz S, Stierstorfer B, Stiller D, Wollin L. Quantification of Pulmonary Fibrosis in a Bleomycin Mouse Model Using Automated Histological Image Analysis. PLoS One. 2017 Jan 20;12(1):e0170561.</w:t>
      </w:r>
    </w:p>
    <w:p w14:paraId="7B8E645C">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2</w:t>
      </w:r>
      <w:r>
        <w:rPr>
          <w:rFonts w:hint="eastAsia" w:ascii="Times New Roman" w:hAnsi="Times New Roman" w:eastAsia="宋体" w:cs="Times New Roman"/>
          <w:color w:val="000000"/>
          <w:sz w:val="21"/>
          <w:szCs w:val="24"/>
          <w:lang w:val="en-US" w:eastAsia="zh-CN" w:bidi="en-US"/>
        </w:rPr>
        <w:t>]</w:t>
      </w:r>
      <w:r>
        <w:rPr>
          <w:color w:val="000000"/>
          <w:sz w:val="21"/>
          <w:lang w:eastAsia="zh-CN"/>
        </w:rPr>
        <w:t>Shao M, Yang S, Zheng A, Wu Z, Chen M, Yao R, Shi Y, Chen G. Pathophysiological Changes in Rhesus Monkeys with Paraquat-Induced Pulmonary Fibrosis. Lung. 2022 Oct;200(5):549-560.</w:t>
      </w:r>
    </w:p>
    <w:p w14:paraId="43BC1F14">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3</w:t>
      </w:r>
      <w:r>
        <w:rPr>
          <w:rFonts w:hint="eastAsia" w:ascii="Times New Roman" w:hAnsi="Times New Roman" w:eastAsia="宋体" w:cs="Times New Roman"/>
          <w:color w:val="000000"/>
          <w:sz w:val="21"/>
          <w:szCs w:val="24"/>
          <w:lang w:val="en-US" w:eastAsia="zh-CN" w:bidi="en-US"/>
        </w:rPr>
        <w:t>]</w:t>
      </w:r>
      <w:r>
        <w:rPr>
          <w:color w:val="000000"/>
          <w:sz w:val="21"/>
          <w:lang w:eastAsia="zh-CN"/>
        </w:rPr>
        <w:t>Cicko S, Grimm M, Ayata K, Beckert J, Meyer A, Hossfeld M, Zissel G, Idzko M, Müller T. Uridine supplementation exerts anti-inflammatory and anti-fibrotic effects in an animal model of pulmonary fibrosis. Respir Res. 2015 Sep 15;16(1):105.</w:t>
      </w:r>
    </w:p>
    <w:p w14:paraId="72D02493">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4</w:t>
      </w:r>
      <w:r>
        <w:rPr>
          <w:rFonts w:hint="eastAsia" w:ascii="Times New Roman" w:hAnsi="Times New Roman" w:eastAsia="宋体" w:cs="Times New Roman"/>
          <w:color w:val="000000"/>
          <w:sz w:val="21"/>
          <w:szCs w:val="24"/>
          <w:lang w:val="en-US" w:eastAsia="zh-CN" w:bidi="en-US"/>
        </w:rPr>
        <w:t>]</w:t>
      </w:r>
      <w:r>
        <w:rPr>
          <w:rFonts w:hint="eastAsia"/>
          <w:color w:val="000000"/>
          <w:sz w:val="21"/>
          <w:lang w:eastAsia="zh-CN"/>
        </w:rPr>
        <w:t>余华军,吴尚,黄慧等. 内窥镜引导气管注入博来霉素建立小鼠肺纤维化模型 [J]. 实验动物与比较医学, 2019, 39 (02): 94-98.</w:t>
      </w:r>
    </w:p>
    <w:p w14:paraId="47292BCC">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5</w:t>
      </w:r>
      <w:r>
        <w:rPr>
          <w:rFonts w:hint="eastAsia" w:ascii="Times New Roman" w:hAnsi="Times New Roman" w:eastAsia="宋体" w:cs="Times New Roman"/>
          <w:color w:val="000000"/>
          <w:sz w:val="21"/>
          <w:szCs w:val="24"/>
          <w:lang w:val="en-US" w:eastAsia="zh-CN" w:bidi="en-US"/>
        </w:rPr>
        <w:t>]</w:t>
      </w:r>
      <w:r>
        <w:rPr>
          <w:color w:val="000000"/>
          <w:sz w:val="21"/>
          <w:lang w:eastAsia="zh-CN"/>
        </w:rPr>
        <w:t>Lim JY, Ryu DB, Kim TW, Lee SE, Park G, Yoon HK, Min CK. CCL1 blockade alleviates human mesenchymal stem cell (hMSC)-induced pulmonary fibrosis in a murine sclerodermatous graft-versus-host disease (Scl-GVHD) model. Stem Cell Res Ther. 2020 Jun 26;11(1):254.</w:t>
      </w:r>
    </w:p>
    <w:p w14:paraId="2CC055E2">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6</w:t>
      </w:r>
      <w:r>
        <w:rPr>
          <w:rFonts w:hint="eastAsia" w:ascii="Times New Roman" w:hAnsi="Times New Roman" w:eastAsia="宋体" w:cs="Times New Roman"/>
          <w:color w:val="000000"/>
          <w:sz w:val="21"/>
          <w:szCs w:val="24"/>
          <w:lang w:val="en-US" w:eastAsia="zh-CN" w:bidi="en-US"/>
        </w:rPr>
        <w:t>]</w:t>
      </w:r>
      <w:r>
        <w:rPr>
          <w:color w:val="000000"/>
          <w:sz w:val="21"/>
          <w:lang w:eastAsia="zh-CN"/>
        </w:rPr>
        <w:t>Takei H, Yasuoka H, Yoshimoto K, Takeuchi T. Aryl hydrocarbon receptor signals attenuate lung fibrosis in the bleomycin-induced mouse model for pulmonary fibrosis through increase of regulatory T cells. Arthritis Res Ther. 2020 Feb 7;22(1):20.</w:t>
      </w:r>
    </w:p>
    <w:p w14:paraId="1EF6628F">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7</w:t>
      </w:r>
      <w:r>
        <w:rPr>
          <w:rFonts w:hint="eastAsia" w:ascii="Times New Roman" w:hAnsi="Times New Roman" w:eastAsia="宋体" w:cs="Times New Roman"/>
          <w:color w:val="000000"/>
          <w:sz w:val="21"/>
          <w:szCs w:val="24"/>
          <w:lang w:val="en-US" w:eastAsia="zh-CN" w:bidi="en-US"/>
        </w:rPr>
        <w:t>]</w:t>
      </w:r>
      <w:r>
        <w:rPr>
          <w:rFonts w:hint="eastAsia"/>
          <w:color w:val="000000"/>
          <w:sz w:val="21"/>
          <w:lang w:eastAsia="zh-CN"/>
        </w:rPr>
        <w:t xml:space="preserve">张林,白俐,邓海娟等. 丁苯酞对小鼠肺纤维化的基质金属蛋白酶及Bax/Bcl-2表达的影响 [J]. 齐齐哈尔医学院学报, 2020, 41 (24): 3041-3045. </w:t>
      </w:r>
    </w:p>
    <w:p w14:paraId="273E1548">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8</w:t>
      </w:r>
      <w:r>
        <w:rPr>
          <w:rFonts w:hint="eastAsia" w:ascii="Times New Roman" w:hAnsi="Times New Roman" w:eastAsia="宋体" w:cs="Times New Roman"/>
          <w:color w:val="000000"/>
          <w:sz w:val="21"/>
          <w:szCs w:val="24"/>
          <w:lang w:val="en-US" w:eastAsia="zh-CN" w:bidi="en-US"/>
        </w:rPr>
        <w:t>]</w:t>
      </w:r>
      <w:r>
        <w:rPr>
          <w:color w:val="000000"/>
          <w:sz w:val="21"/>
          <w:lang w:eastAsia="zh-CN"/>
        </w:rPr>
        <w:t>Comeglio P, Filippi S, Sarchielli E, Morelli A, Cellai I, Corno C, Pini A, Adorini L, Vannelli GB, Maggi M, Vignozzi L. Therapeutic effects of obeticholic acid (OCA) treatment in a bleomycin-induced pulmonary fibrosis rat model. J Endocrinol Invest. 2019 Mar;42(3):283-294.</w:t>
      </w:r>
    </w:p>
    <w:p w14:paraId="1435CEE4">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9</w:t>
      </w:r>
      <w:r>
        <w:rPr>
          <w:rFonts w:hint="eastAsia" w:ascii="Times New Roman" w:hAnsi="Times New Roman" w:eastAsia="宋体" w:cs="Times New Roman"/>
          <w:color w:val="000000"/>
          <w:sz w:val="21"/>
          <w:szCs w:val="24"/>
          <w:lang w:val="en-US" w:eastAsia="zh-CN" w:bidi="en-US"/>
        </w:rPr>
        <w:t>]</w:t>
      </w:r>
      <w:r>
        <w:rPr>
          <w:rFonts w:hint="eastAsia"/>
          <w:color w:val="000000"/>
          <w:sz w:val="21"/>
          <w:lang w:eastAsia="zh-CN"/>
        </w:rPr>
        <w:t>马淑梅,余伯成,唐亮等. 虫草素制剂对博来霉素致大鼠肺纤维化的治疗作用 [J]. 世界临床药物, 2016, 37 (10): 686-690+706.</w:t>
      </w:r>
    </w:p>
    <w:p w14:paraId="1A67F4FF">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10</w:t>
      </w:r>
      <w:r>
        <w:rPr>
          <w:rFonts w:hint="eastAsia" w:ascii="Times New Roman" w:hAnsi="Times New Roman" w:eastAsia="宋体" w:cs="Times New Roman"/>
          <w:color w:val="000000"/>
          <w:sz w:val="21"/>
          <w:szCs w:val="24"/>
          <w:lang w:val="en-US" w:eastAsia="zh-CN" w:bidi="en-US"/>
        </w:rPr>
        <w:t>]</w:t>
      </w:r>
      <w:r>
        <w:rPr>
          <w:rFonts w:hint="eastAsia"/>
          <w:color w:val="000000"/>
          <w:sz w:val="21"/>
          <w:lang w:eastAsia="zh-CN"/>
        </w:rPr>
        <w:t>赖小映,钟小宁. Th17、Treg在肺纤维化小鼠外周血、肺组织中的表达及意义 [J]. 山东医药, 2013, 53 (19): 1-4.</w:t>
      </w:r>
    </w:p>
    <w:p w14:paraId="214FD2BB">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11</w:t>
      </w:r>
      <w:r>
        <w:rPr>
          <w:rFonts w:hint="eastAsia" w:ascii="Times New Roman" w:hAnsi="Times New Roman" w:eastAsia="宋体" w:cs="Times New Roman"/>
          <w:color w:val="000000"/>
          <w:sz w:val="21"/>
          <w:szCs w:val="24"/>
          <w:lang w:val="en-US" w:eastAsia="zh-CN" w:bidi="en-US"/>
        </w:rPr>
        <w:t>]</w:t>
      </w:r>
      <w:r>
        <w:rPr>
          <w:color w:val="000000"/>
          <w:sz w:val="21"/>
          <w:lang w:eastAsia="zh-CN"/>
        </w:rPr>
        <w:t>Abidi A, Robbe A, Kourda N, Ben Khamsa S, Legrand A. Nigella sativa, a traditional Tunisian herbal medicine, attenuates bleomycin-induced pulmonary fibrosis in a rat model. Biomed Pharmacother. 2017 Jun;90:626-637.</w:t>
      </w:r>
    </w:p>
    <w:p w14:paraId="74732A98">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12</w:t>
      </w:r>
      <w:r>
        <w:rPr>
          <w:rFonts w:hint="eastAsia" w:ascii="Times New Roman" w:hAnsi="Times New Roman" w:eastAsia="宋体" w:cs="Times New Roman"/>
          <w:color w:val="000000"/>
          <w:sz w:val="21"/>
          <w:szCs w:val="24"/>
          <w:lang w:val="en-US" w:eastAsia="zh-CN" w:bidi="en-US"/>
        </w:rPr>
        <w:t>]</w:t>
      </w:r>
      <w:r>
        <w:rPr>
          <w:rFonts w:hint="eastAsia"/>
          <w:color w:val="000000"/>
          <w:sz w:val="21"/>
          <w:lang w:eastAsia="zh-CN"/>
        </w:rPr>
        <w:t>赖小映,钟小宁. Th17、Treg在肺纤维化小鼠外周血、肺组织中的表达及意义 [J]. 山东医药, 2013, 53 (19): 1-4.</w:t>
      </w:r>
    </w:p>
    <w:p w14:paraId="56AD477F">
      <w:pPr>
        <w:pStyle w:val="55"/>
        <w:numPr>
          <w:ilvl w:val="0"/>
          <w:numId w:val="0"/>
        </w:numPr>
        <w:spacing w:line="360" w:lineRule="auto"/>
        <w:ind w:left="440" w:leftChars="0" w:firstLine="420" w:firstLineChars="0"/>
        <w:jc w:val="both"/>
        <w:rPr>
          <w:color w:val="000000"/>
          <w:sz w:val="21"/>
          <w:szCs w:val="21"/>
          <w:lang w:eastAsia="zh-CN"/>
        </w:rPr>
      </w:pPr>
      <w:r>
        <w:rPr>
          <w:rFonts w:hint="eastAsia" w:ascii="Times New Roman" w:hAnsi="Times New Roman" w:eastAsia="宋体" w:cs="Times New Roman"/>
          <w:color w:val="000000"/>
          <w:sz w:val="21"/>
          <w:szCs w:val="21"/>
          <w:lang w:val="en-US" w:eastAsia="zh-CN" w:bidi="en-US"/>
        </w:rPr>
        <w:t>[</w:t>
      </w:r>
      <w:r>
        <w:rPr>
          <w:rFonts w:hint="eastAsia" w:cs="Times New Roman"/>
          <w:color w:val="000000"/>
          <w:sz w:val="21"/>
          <w:szCs w:val="21"/>
          <w:lang w:val="en-US" w:eastAsia="zh-CN" w:bidi="en-US"/>
        </w:rPr>
        <w:t>13</w:t>
      </w:r>
      <w:r>
        <w:rPr>
          <w:rFonts w:hint="eastAsia" w:ascii="Times New Roman" w:hAnsi="Times New Roman" w:eastAsia="宋体" w:cs="Times New Roman"/>
          <w:color w:val="000000"/>
          <w:sz w:val="21"/>
          <w:szCs w:val="21"/>
          <w:lang w:val="en-US" w:eastAsia="zh-CN" w:bidi="en-US"/>
        </w:rPr>
        <w:t>]</w:t>
      </w:r>
      <w:r>
        <w:rPr>
          <w:sz w:val="21"/>
          <w:szCs w:val="21"/>
          <w:lang w:eastAsia="zh-CN"/>
        </w:rPr>
        <w:t>陈广瑞,李俭,梁笛等. 肺纤维化大鼠模型造模方法的优化 [J]. 中国实验动物学报, 2023, 31 (02): 201-207.</w:t>
      </w:r>
    </w:p>
    <w:p w14:paraId="23C3D2EA">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14</w:t>
      </w:r>
      <w:r>
        <w:rPr>
          <w:rFonts w:hint="eastAsia" w:ascii="Times New Roman" w:hAnsi="Times New Roman" w:eastAsia="宋体" w:cs="Times New Roman"/>
          <w:color w:val="000000"/>
          <w:sz w:val="21"/>
          <w:szCs w:val="24"/>
          <w:lang w:val="en-US" w:eastAsia="zh-CN" w:bidi="en-US"/>
        </w:rPr>
        <w:t>]</w:t>
      </w:r>
      <w:r>
        <w:rPr>
          <w:rFonts w:hint="eastAsia"/>
          <w:color w:val="000000"/>
          <w:sz w:val="21"/>
          <w:lang w:eastAsia="zh-CN"/>
        </w:rPr>
        <w:t>伍新诚,刘雨,柏正平. 复方葶苈子汤通过调控HMGB1介导的细胞焦亡及免疫失衡治疗COPD相关性肺动脉高压 [J]. 中国中药杂志, 2023, 48 (11): 3055-3065.</w:t>
      </w:r>
    </w:p>
    <w:p w14:paraId="2C70D79D">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15</w:t>
      </w:r>
      <w:r>
        <w:rPr>
          <w:rFonts w:hint="eastAsia" w:ascii="Times New Roman" w:hAnsi="Times New Roman" w:eastAsia="宋体" w:cs="Times New Roman"/>
          <w:color w:val="000000"/>
          <w:sz w:val="21"/>
          <w:szCs w:val="24"/>
          <w:lang w:val="en-US" w:eastAsia="zh-CN" w:bidi="en-US"/>
        </w:rPr>
        <w:t>]</w:t>
      </w:r>
      <w:r>
        <w:rPr>
          <w:color w:val="000000"/>
          <w:sz w:val="21"/>
          <w:lang w:eastAsia="zh-CN"/>
        </w:rPr>
        <w:t>Shimbori C, Upagupta C, Bellaye PS, Ayaub EA, Sato S, Yanagihara T, Zhou Q, Ognjanovic A, Ask K, Gauldie J, Forsythe P, Kolb MRJ. Mechanical stress-induced mast cell degranulation activates TGF-β1 signalling pathway in pulmonary fibrosis. Thorax. 2019 May;74(5):455-465.</w:t>
      </w:r>
    </w:p>
    <w:p w14:paraId="60905A4E">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16</w:t>
      </w:r>
      <w:r>
        <w:rPr>
          <w:rFonts w:hint="eastAsia" w:ascii="Times New Roman" w:hAnsi="Times New Roman" w:eastAsia="宋体" w:cs="Times New Roman"/>
          <w:color w:val="000000"/>
          <w:sz w:val="21"/>
          <w:szCs w:val="24"/>
          <w:lang w:val="en-US" w:eastAsia="zh-CN" w:bidi="en-US"/>
        </w:rPr>
        <w:t>]</w:t>
      </w:r>
      <w:r>
        <w:rPr>
          <w:color w:val="000000"/>
          <w:sz w:val="21"/>
          <w:lang w:eastAsia="zh-CN"/>
        </w:rPr>
        <w:t>Povedano JM, Martinez P, Serrano R, Tejera Á, Gómez-López G, Bobadilla M, Flores JM, Bosch F, Blasco MA. Therapeutic effects of telomerase in mice with pulmonary fibrosis induced by damage to the lungs and short telomeres. Elife. 2018 Jan 30;7:e31299.</w:t>
      </w:r>
    </w:p>
    <w:p w14:paraId="29A078CD">
      <w:pPr>
        <w:pStyle w:val="55"/>
        <w:numPr>
          <w:ilvl w:val="0"/>
          <w:numId w:val="0"/>
        </w:numPr>
        <w:spacing w:line="360" w:lineRule="auto"/>
        <w:ind w:left="440" w:leftChars="0" w:firstLine="420" w:firstLineChars="0"/>
        <w:jc w:val="both"/>
        <w:rPr>
          <w:color w:val="000000"/>
          <w:sz w:val="21"/>
          <w:lang w:eastAsia="zh-CN"/>
        </w:rPr>
      </w:pPr>
      <w:r>
        <w:rPr>
          <w:rFonts w:hint="eastAsia" w:ascii="Times New Roman" w:hAnsi="Times New Roman" w:eastAsia="宋体" w:cs="Times New Roman"/>
          <w:color w:val="000000"/>
          <w:sz w:val="21"/>
          <w:szCs w:val="24"/>
          <w:lang w:val="en-US" w:eastAsia="zh-CN" w:bidi="en-US"/>
        </w:rPr>
        <w:t>[1</w:t>
      </w:r>
      <w:r>
        <w:rPr>
          <w:rFonts w:hint="eastAsia" w:cs="Times New Roman"/>
          <w:color w:val="000000"/>
          <w:sz w:val="21"/>
          <w:szCs w:val="24"/>
          <w:lang w:val="en-US" w:eastAsia="zh-CN" w:bidi="en-US"/>
        </w:rPr>
        <w:t>7</w:t>
      </w:r>
      <w:r>
        <w:rPr>
          <w:rFonts w:hint="eastAsia" w:ascii="Times New Roman" w:hAnsi="Times New Roman" w:eastAsia="宋体" w:cs="Times New Roman"/>
          <w:color w:val="000000"/>
          <w:sz w:val="21"/>
          <w:szCs w:val="24"/>
          <w:lang w:val="en-US" w:eastAsia="zh-CN" w:bidi="en-US"/>
        </w:rPr>
        <w:t>]</w:t>
      </w:r>
      <w:r>
        <w:rPr>
          <w:color w:val="000000"/>
          <w:sz w:val="21"/>
          <w:lang w:eastAsia="zh-CN"/>
        </w:rPr>
        <w:t>Dos Santos Rocha A, Peták F, Carvalho T, Habre W, Balogh AL. Physiologically</w:t>
      </w:r>
      <w:r>
        <w:rPr>
          <w:rFonts w:hint="eastAsia"/>
          <w:color w:val="000000"/>
          <w:sz w:val="21"/>
          <w:lang w:eastAsia="zh-CN"/>
        </w:rPr>
        <w:t xml:space="preserve"> </w:t>
      </w:r>
      <w:r>
        <w:rPr>
          <w:color w:val="000000"/>
          <w:sz w:val="21"/>
          <w:lang w:eastAsia="zh-CN"/>
        </w:rPr>
        <w:t>variable ventilation prevents lung function deterioration in a model of</w:t>
      </w:r>
      <w:r>
        <w:rPr>
          <w:rFonts w:hint="eastAsia"/>
          <w:color w:val="000000"/>
          <w:sz w:val="21"/>
          <w:lang w:eastAsia="zh-CN"/>
        </w:rPr>
        <w:t xml:space="preserve"> </w:t>
      </w:r>
      <w:r>
        <w:rPr>
          <w:color w:val="000000"/>
          <w:sz w:val="21"/>
          <w:lang w:eastAsia="zh-CN"/>
        </w:rPr>
        <w:t>pulmonary fibrosis. J App l Physiol (1985). 2022 Apr 1;132(4):915-924.</w:t>
      </w:r>
    </w:p>
    <w:p w14:paraId="550307E6">
      <w:pPr>
        <w:pStyle w:val="55"/>
        <w:numPr>
          <w:ilvl w:val="0"/>
          <w:numId w:val="0"/>
        </w:numPr>
        <w:spacing w:line="360" w:lineRule="auto"/>
        <w:ind w:left="440" w:leftChars="0" w:firstLine="420" w:firstLineChars="0"/>
        <w:jc w:val="both"/>
        <w:rPr>
          <w:rFonts w:hint="eastAsia" w:ascii="宋体" w:hAnsi="宋体"/>
          <w:b/>
          <w:bCs/>
          <w:color w:val="000000"/>
          <w:sz w:val="21"/>
          <w:lang w:eastAsia="zh-CN"/>
        </w:rPr>
      </w:pPr>
      <w:r>
        <w:rPr>
          <w:rFonts w:hint="eastAsia"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18</w:t>
      </w:r>
      <w:r>
        <w:rPr>
          <w:rFonts w:hint="eastAsia" w:ascii="Times New Roman" w:hAnsi="Times New Roman" w:eastAsia="宋体" w:cs="Times New Roman"/>
          <w:color w:val="000000"/>
          <w:sz w:val="21"/>
          <w:szCs w:val="24"/>
          <w:lang w:val="en-US" w:eastAsia="zh-CN" w:bidi="en-US"/>
        </w:rPr>
        <w:t>]</w:t>
      </w:r>
      <w:r>
        <w:rPr>
          <w:color w:val="000000"/>
          <w:sz w:val="21"/>
          <w:lang w:eastAsia="zh-CN"/>
        </w:rPr>
        <w:t>Kolahian S, Fernandez IE, Eickelberg O, Hartl D. Immune Mechanisms in Pulmonary Fibrosis. Am J Respir Cell Mol Biol. 2016 Sep;55(3):309-22.</w:t>
      </w:r>
    </w:p>
    <w:p w14:paraId="02C0ADE9">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[1</w:t>
      </w:r>
      <w:r>
        <w:rPr>
          <w:rFonts w:hint="eastAsia" w:cs="Times New Roman"/>
          <w:color w:val="000000"/>
          <w:sz w:val="21"/>
          <w:szCs w:val="24"/>
          <w:lang w:val="en-US" w:eastAsia="zh-CN" w:bidi="en-US"/>
        </w:rPr>
        <w:t>9</w:t>
      </w:r>
      <w:r>
        <w:rPr>
          <w:rFonts w:hint="default" w:ascii="Times New Roman" w:hAnsi="Times New Roman" w:eastAsia="宋体" w:cs="Times New Roman"/>
          <w:color w:val="000000"/>
          <w:sz w:val="21"/>
          <w:szCs w:val="24"/>
          <w:lang w:val="en-US" w:eastAsia="zh-CN" w:bidi="en-US"/>
        </w:rPr>
        <w:t>]</w:t>
      </w:r>
      <w:r>
        <w:rPr>
          <w:color w:val="000000"/>
          <w:sz w:val="21"/>
          <w:lang w:eastAsia="zh-CN"/>
        </w:rPr>
        <w:t xml:space="preserve">Li S, Shi J, Tang H. Animal models of drug-induced pulmonary fibrosis: an overview of molecular mechanisms and characteristics. Cell Biol Toxicol. 2022;38(5):699-723. </w:t>
      </w:r>
    </w:p>
    <w:p w14:paraId="452EE434">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[2</w:t>
      </w:r>
      <w:r>
        <w:rPr>
          <w:rFonts w:hint="eastAsia" w:cs="Times New Roman"/>
          <w:color w:val="000000"/>
          <w:sz w:val="21"/>
          <w:szCs w:val="24"/>
          <w:lang w:val="en-US" w:eastAsia="zh-CN" w:bidi="en-US"/>
        </w:rPr>
        <w:t>0</w:t>
      </w:r>
      <w:r>
        <w:rPr>
          <w:rFonts w:hint="default" w:ascii="Times New Roman" w:hAnsi="Times New Roman" w:eastAsia="宋体" w:cs="Times New Roman"/>
          <w:color w:val="000000"/>
          <w:sz w:val="21"/>
          <w:szCs w:val="24"/>
          <w:lang w:val="en-US" w:eastAsia="zh-CN" w:bidi="en-US"/>
        </w:rPr>
        <w:t>]</w:t>
      </w:r>
      <w:r>
        <w:rPr>
          <w:color w:val="000000"/>
          <w:sz w:val="21"/>
          <w:lang w:eastAsia="zh-CN"/>
        </w:rPr>
        <w:t xml:space="preserve">Tashiro J, Rubio GA, Limper AH, et al. Exploring Animal Models That Resemble Idiopathic Pulmonary Fibrosis. Front Med (Lausanne). 2017;4:118. Published 2017 Jul 28. </w:t>
      </w:r>
    </w:p>
    <w:p w14:paraId="7ADC19BB">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21</w:t>
      </w:r>
      <w:r>
        <w:rPr>
          <w:rFonts w:hint="default" w:ascii="Times New Roman" w:hAnsi="Times New Roman" w:eastAsia="宋体" w:cs="Times New Roman"/>
          <w:color w:val="000000"/>
          <w:sz w:val="21"/>
          <w:szCs w:val="24"/>
          <w:lang w:val="en-US" w:eastAsia="zh-CN" w:bidi="en-US"/>
        </w:rPr>
        <w:t>]</w:t>
      </w:r>
      <w:r>
        <w:rPr>
          <w:color w:val="000000"/>
          <w:sz w:val="21"/>
          <w:lang w:eastAsia="zh-CN"/>
        </w:rPr>
        <w:t>Della Latta V, Cecchettini A, Del Ry S, et al. Bleomycin in the setting of lung fibrosis induction: From biological mechanisms to counteractions. Pharmacol Res. 2015;97:122-130.</w:t>
      </w:r>
    </w:p>
    <w:p w14:paraId="3C7BA913">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22</w:t>
      </w:r>
      <w:r>
        <w:rPr>
          <w:rFonts w:hint="default" w:ascii="Times New Roman" w:hAnsi="Times New Roman" w:eastAsia="宋体" w:cs="Times New Roman"/>
          <w:color w:val="000000"/>
          <w:sz w:val="21"/>
          <w:szCs w:val="24"/>
          <w:lang w:val="en-US" w:eastAsia="zh-CN" w:bidi="en-US"/>
        </w:rPr>
        <w:t>]</w:t>
      </w:r>
      <w:r>
        <w:rPr>
          <w:rFonts w:hint="eastAsia"/>
          <w:color w:val="000000"/>
          <w:sz w:val="21"/>
          <w:lang w:eastAsia="zh-CN"/>
        </w:rPr>
        <w:t>胡静,刘旭凌. 经鼻滴入博莱霉素致小鼠肺纤维化模型的建立及其病理演变 [J]. 中国实验动物学报, 2009, 17 (05): 351-353+406.</w:t>
      </w:r>
    </w:p>
    <w:p w14:paraId="779148A9">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23</w:t>
      </w:r>
      <w:r>
        <w:rPr>
          <w:rFonts w:hint="default" w:ascii="Times New Roman" w:hAnsi="Times New Roman" w:eastAsia="宋体" w:cs="Times New Roman"/>
          <w:color w:val="000000"/>
          <w:sz w:val="21"/>
          <w:szCs w:val="24"/>
          <w:lang w:val="en-US" w:eastAsia="zh-CN" w:bidi="en-US"/>
        </w:rPr>
        <w:t>]</w:t>
      </w:r>
      <w:r>
        <w:rPr>
          <w:color w:val="000000"/>
          <w:sz w:val="21"/>
          <w:lang w:eastAsia="zh-CN"/>
        </w:rPr>
        <w:t xml:space="preserve">Kolb P, Upagupta C, Vierhout M, et al. The importance of interventional timing in the bleomycin model of pulmonary fibrosis. Eur Respir J. 2020;55(6):1901105. Published 2020 Jun 11. </w:t>
      </w:r>
    </w:p>
    <w:p w14:paraId="51C5FB07">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24</w:t>
      </w:r>
      <w:r>
        <w:rPr>
          <w:rFonts w:hint="default" w:ascii="Times New Roman" w:hAnsi="Times New Roman" w:eastAsia="宋体" w:cs="Times New Roman"/>
          <w:color w:val="000000"/>
          <w:sz w:val="21"/>
          <w:szCs w:val="24"/>
          <w:lang w:val="en-US" w:eastAsia="zh-CN" w:bidi="en-US"/>
        </w:rPr>
        <w:t>]</w:t>
      </w:r>
      <w:r>
        <w:rPr>
          <w:rFonts w:hint="eastAsia"/>
          <w:color w:val="000000"/>
          <w:sz w:val="21"/>
          <w:lang w:eastAsia="zh-CN"/>
        </w:rPr>
        <w:t>燕苗苗,赵亚昆,王搏等. 博来霉素诱导大鼠与小鼠肺纤维化模型的评价 [J]. 中国实验动物学报, 2023, 31 (02): 179-186.</w:t>
      </w:r>
    </w:p>
    <w:p w14:paraId="68E7BD01">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25</w:t>
      </w:r>
      <w:r>
        <w:rPr>
          <w:rFonts w:hint="default" w:ascii="Times New Roman" w:hAnsi="Times New Roman" w:eastAsia="宋体" w:cs="Times New Roman"/>
          <w:color w:val="000000"/>
          <w:sz w:val="21"/>
          <w:szCs w:val="24"/>
          <w:lang w:val="en-US" w:eastAsia="zh-CN" w:bidi="en-US"/>
        </w:rPr>
        <w:t>]</w:t>
      </w:r>
      <w:r>
        <w:rPr>
          <w:color w:val="000000"/>
          <w:sz w:val="21"/>
          <w:lang w:eastAsia="zh-CN"/>
        </w:rPr>
        <w:t>Lilis R, Miller A, Godbold J, et al. The effect of asbestos-induced pleural fibrosis on pulmonary function: quantitative evaluation. Ann N Y Acad Sci. 1991;643:162-168.</w:t>
      </w:r>
    </w:p>
    <w:p w14:paraId="506D014F">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26</w:t>
      </w:r>
      <w:r>
        <w:rPr>
          <w:rFonts w:hint="default" w:ascii="Times New Roman" w:hAnsi="Times New Roman" w:eastAsia="宋体" w:cs="Times New Roman"/>
          <w:color w:val="000000"/>
          <w:sz w:val="21"/>
          <w:szCs w:val="24"/>
          <w:lang w:val="en-US" w:eastAsia="zh-CN" w:bidi="en-US"/>
        </w:rPr>
        <w:t>]</w:t>
      </w:r>
      <w:r>
        <w:rPr>
          <w:color w:val="000000"/>
          <w:sz w:val="21"/>
          <w:lang w:eastAsia="zh-CN"/>
        </w:rPr>
        <w:t xml:space="preserve">Walters GI. Occupational exposures and idiopathic pulmonary fibrosis. Curr Opin Allergy Clin Immunol. 2020;20(2):103-111. </w:t>
      </w:r>
    </w:p>
    <w:p w14:paraId="5CA2A128">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27</w:t>
      </w:r>
      <w:r>
        <w:rPr>
          <w:rFonts w:hint="default" w:ascii="Times New Roman" w:hAnsi="Times New Roman" w:eastAsia="宋体" w:cs="Times New Roman"/>
          <w:color w:val="000000"/>
          <w:sz w:val="21"/>
          <w:szCs w:val="24"/>
          <w:lang w:val="en-US" w:eastAsia="zh-CN" w:bidi="en-US"/>
        </w:rPr>
        <w:t>]</w:t>
      </w:r>
      <w:r>
        <w:rPr>
          <w:rFonts w:hint="eastAsia"/>
          <w:color w:val="000000"/>
          <w:sz w:val="21"/>
          <w:lang w:eastAsia="zh-CN"/>
        </w:rPr>
        <w:t>陈广瑞,李俭,梁笛等. 肺纤维化大鼠模型造模方法的优化 [J]. 中国实验动物学报, 2023, 31 (02): 201-207.</w:t>
      </w:r>
    </w:p>
    <w:p w14:paraId="17D2F04E">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28</w:t>
      </w:r>
      <w:r>
        <w:rPr>
          <w:rFonts w:hint="default" w:ascii="Times New Roman" w:hAnsi="Times New Roman" w:eastAsia="宋体" w:cs="Times New Roman"/>
          <w:color w:val="000000"/>
          <w:sz w:val="21"/>
          <w:szCs w:val="24"/>
          <w:lang w:val="en-US" w:eastAsia="zh-CN" w:bidi="en-US"/>
        </w:rPr>
        <w:t>]</w:t>
      </w:r>
      <w:r>
        <w:rPr>
          <w:color w:val="000000"/>
          <w:sz w:val="21"/>
          <w:lang w:eastAsia="zh-CN"/>
        </w:rPr>
        <w:t>Sun B, Chen YG. Advances in the mechanism of paraquat-induced pulmonary injury. Eur Rev Med Pharmacol Sci. 2016;20(8):1597-1602.</w:t>
      </w:r>
    </w:p>
    <w:p w14:paraId="488818E1">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29</w:t>
      </w:r>
      <w:r>
        <w:rPr>
          <w:rFonts w:hint="default" w:ascii="Times New Roman" w:hAnsi="Times New Roman" w:eastAsia="宋体" w:cs="Times New Roman"/>
          <w:color w:val="000000"/>
          <w:sz w:val="21"/>
          <w:szCs w:val="24"/>
          <w:lang w:val="en-US" w:eastAsia="zh-CN" w:bidi="en-US"/>
        </w:rPr>
        <w:t>]</w:t>
      </w:r>
      <w:r>
        <w:rPr>
          <w:color w:val="000000"/>
          <w:sz w:val="21"/>
          <w:lang w:eastAsia="zh-CN"/>
        </w:rPr>
        <w:t>王萍,李铁刚.百草枯中毒致小鼠肺纤维化模型的建立[J].实用药物与临床,2020,23(10):886-889.</w:t>
      </w:r>
    </w:p>
    <w:p w14:paraId="7D90A881">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30</w:t>
      </w:r>
      <w:r>
        <w:rPr>
          <w:rFonts w:hint="default" w:ascii="Times New Roman" w:hAnsi="Times New Roman" w:eastAsia="宋体" w:cs="Times New Roman"/>
          <w:color w:val="000000"/>
          <w:sz w:val="21"/>
          <w:szCs w:val="24"/>
          <w:lang w:val="en-US" w:eastAsia="zh-CN" w:bidi="en-US"/>
        </w:rPr>
        <w:t>]</w:t>
      </w:r>
      <w:r>
        <w:rPr>
          <w:color w:val="000000"/>
          <w:sz w:val="21"/>
          <w:lang w:eastAsia="zh-CN"/>
        </w:rPr>
        <w:t>李莎,刘文.百草枯致肺纤维化动物模型、发病机制及抗纤维化治疗进展[J].药学服务与研究,2018,18(04):241-246.</w:t>
      </w:r>
    </w:p>
    <w:p w14:paraId="4A6837E8">
      <w:pPr>
        <w:numPr>
          <w:ilvl w:val="0"/>
          <w:numId w:val="0"/>
        </w:numPr>
        <w:spacing w:line="360" w:lineRule="auto"/>
        <w:ind w:left="420" w:leftChars="0" w:firstLine="420" w:firstLineChars="0"/>
        <w:jc w:val="both"/>
        <w:rPr>
          <w:color w:val="000000"/>
          <w:sz w:val="21"/>
          <w:lang w:eastAsia="zh-CN"/>
        </w:rPr>
      </w:pPr>
      <w:r>
        <w:rPr>
          <w:rFonts w:hint="default" w:ascii="Times New Roman" w:hAnsi="Times New Roman" w:eastAsia="宋体" w:cs="Times New Roman"/>
          <w:color w:val="000000"/>
          <w:sz w:val="21"/>
          <w:szCs w:val="24"/>
          <w:lang w:val="en-US" w:eastAsia="zh-CN" w:bidi="en-US"/>
        </w:rPr>
        <w:t>[</w:t>
      </w:r>
      <w:r>
        <w:rPr>
          <w:rFonts w:hint="eastAsia" w:cs="Times New Roman"/>
          <w:color w:val="000000"/>
          <w:sz w:val="21"/>
          <w:szCs w:val="24"/>
          <w:lang w:val="en-US" w:eastAsia="zh-CN" w:bidi="en-US"/>
        </w:rPr>
        <w:t>31</w:t>
      </w:r>
      <w:r>
        <w:rPr>
          <w:rFonts w:hint="default" w:ascii="Times New Roman" w:hAnsi="Times New Roman" w:eastAsia="宋体" w:cs="Times New Roman"/>
          <w:color w:val="000000"/>
          <w:sz w:val="21"/>
          <w:szCs w:val="24"/>
          <w:lang w:val="en-US" w:eastAsia="zh-CN" w:bidi="en-US"/>
        </w:rPr>
        <w:t>]</w:t>
      </w:r>
      <w:r>
        <w:rPr>
          <w:color w:val="000000"/>
          <w:sz w:val="21"/>
          <w:lang w:eastAsia="zh-CN"/>
        </w:rPr>
        <w:t>陈孟毅,孟爱民.肺纤维化动物模型及研究进展[J].中国比较医学杂志,2016,26(06):88-93.</w:t>
      </w:r>
    </w:p>
    <w:p w14:paraId="0E6219BB">
      <w:pPr>
        <w:spacing w:line="360" w:lineRule="auto"/>
        <w:rPr>
          <w:rFonts w:ascii="宋体" w:hAnsi="宋体"/>
          <w:color w:val="000000"/>
          <w:sz w:val="21"/>
          <w:lang w:eastAsia="zh-CN"/>
        </w:rPr>
      </w:pPr>
    </w:p>
    <w:p w14:paraId="681D6A6B">
      <w:pPr>
        <w:spacing w:line="360" w:lineRule="auto"/>
        <w:jc w:val="center"/>
        <w:rPr>
          <w:rFonts w:ascii="宋体" w:hAnsi="宋体"/>
          <w:color w:val="000000"/>
          <w:sz w:val="21"/>
          <w:szCs w:val="21"/>
          <w:lang w:eastAsia="zh-CN"/>
        </w:rPr>
      </w:pPr>
    </w:p>
    <w:p w14:paraId="0A0CD36D">
      <w:pPr>
        <w:spacing w:line="360" w:lineRule="auto"/>
        <w:jc w:val="center"/>
        <w:rPr>
          <w:rFonts w:hint="eastAsia" w:ascii="宋体" w:hAnsi="宋体"/>
          <w:color w:val="000000"/>
          <w:sz w:val="21"/>
          <w:szCs w:val="21"/>
          <w:lang w:eastAsia="zh-CN"/>
        </w:rPr>
      </w:pPr>
      <w:r>
        <w:rPr>
          <w:rFonts w:hint="eastAsia" w:ascii="宋体" w:hAnsi="宋体"/>
          <w:color w:val="000000"/>
          <w:sz w:val="21"/>
          <w:szCs w:val="21"/>
          <w:lang w:eastAsia="zh-CN" w:bidi="ar-SA"/>
        </w:rPr>
        <mc:AlternateContent>
          <mc:Choice Requires="wps">
            <w:drawing>
              <wp:anchor distT="0" distB="0" distL="114300" distR="114300" simplePos="0" relativeHeight="251661312" behindDoc="0" locked="0" layoutInCell="1" allowOverlap="1">
                <wp:simplePos x="0" y="0"/>
                <wp:positionH relativeFrom="column">
                  <wp:posOffset>1873250</wp:posOffset>
                </wp:positionH>
                <wp:positionV relativeFrom="paragraph">
                  <wp:posOffset>161925</wp:posOffset>
                </wp:positionV>
                <wp:extent cx="1402080" cy="0"/>
                <wp:effectExtent l="0" t="4445" r="0" b="5080"/>
                <wp:wrapNone/>
                <wp:docPr id="1" name="直接箭头连接符 1"/>
                <wp:cNvGraphicFramePr/>
                <a:graphic xmlns:a="http://schemas.openxmlformats.org/drawingml/2006/main">
                  <a:graphicData uri="http://schemas.microsoft.com/office/word/2010/wordprocessingShape">
                    <wps:wsp>
                      <wps:cNvCnPr/>
                      <wps:spPr>
                        <a:xfrm flipV="1">
                          <a:off x="0" y="0"/>
                          <a:ext cx="140208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47.5pt;margin-top:12.75pt;height:0pt;width:110.4pt;z-index:251661312;mso-width-relative:page;mso-height-relative:page;" filled="f" stroked="t" coordsize="21600,21600" o:gfxdata="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eyRS1gAAAAkBAAAPAAAAAAAAAAEAIAAAACIAAABkcnMvZG93&#10;bnJldi54bWxQSwECFAAUAAAACACHTuJAQG1legICAAD2AwAADgAAAAAAAAABACAAAAAlAQAAZHJz&#10;L2Uyb0RvYy54bWxQSwUGAAAAAAYABgBZAQAAmQUAAAAA&#10;">
                <v:fill on="f" focussize="0,0"/>
                <v:stroke color="#000000" joinstyle="round"/>
                <v:imagedata o:title=""/>
                <o:lock v:ext="edit" aspectratio="f"/>
              </v:shape>
            </w:pict>
          </mc:Fallback>
        </mc:AlternateContent>
      </w:r>
    </w:p>
    <w:p w14:paraId="04670B9E">
      <w:pPr>
        <w:numPr>
          <w:ilvl w:val="0"/>
          <w:numId w:val="0"/>
        </w:numPr>
        <w:spacing w:line="360" w:lineRule="auto"/>
        <w:jc w:val="both"/>
        <w:rPr>
          <w:color w:val="000000"/>
          <w:sz w:val="21"/>
          <w:lang w:eastAsia="zh-CN"/>
        </w:rPr>
      </w:pPr>
    </w:p>
    <w:sectPr>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Tw Cen MT Condensed">
    <w:panose1 w:val="020B0606020104020203"/>
    <w:charset w:val="00"/>
    <w:family w:val="swiss"/>
    <w:pitch w:val="default"/>
    <w:sig w:usb0="00000003" w:usb1="00000000" w:usb2="00000000" w:usb3="00000000" w:csb0="20000003"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7AC7A">
    <w:pPr>
      <w:pStyle w:val="16"/>
      <w:ind w:right="360"/>
    </w:pPr>
    <w:r>
      <w:rPr>
        <w:lang w:eastAsia="zh-CN"/>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57785" cy="131445"/>
              <wp:effectExtent l="0" t="0" r="0" b="0"/>
              <wp:wrapNone/>
              <wp:docPr id="1829630891" name="文本框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126AB3C4">
                          <w:pPr>
                            <w:pStyle w:val="16"/>
                            <w:rPr>
                              <w:rStyle w:val="26"/>
                            </w:rPr>
                          </w:pPr>
                          <w:r>
                            <w:fldChar w:fldCharType="begin"/>
                          </w:r>
                          <w:r>
                            <w:rPr>
                              <w:rStyle w:val="26"/>
                            </w:rPr>
                            <w:instrText xml:space="preserve">PAGE  </w:instrText>
                          </w:r>
                          <w:r>
                            <w:fldChar w:fldCharType="separate"/>
                          </w:r>
                          <w:r>
                            <w:rPr>
                              <w:rStyle w:val="26"/>
                            </w:rPr>
                            <w:t>19</w:t>
                          </w:r>
                          <w:r>
                            <w:fldChar w:fldCharType="end"/>
                          </w:r>
                        </w:p>
                      </w:txbxContent>
                    </wps:txbx>
                    <wps:bodyPr rot="0" vert="horz" wrap="none" lIns="0" tIns="0" rIns="0" bIns="0" anchor="t" anchorCtr="0" upright="1">
                      <a:spAutoFit/>
                    </wps:bodyPr>
                  </wps:wsp>
                </a:graphicData>
              </a:graphic>
            </wp:anchor>
          </w:drawing>
        </mc:Choice>
        <mc:Fallback>
          <w:pict>
            <v:shape id="文本框2" o:spid="_x0000_s1026" o:spt="202" type="#_x0000_t202" style="position:absolute;left:0pt;margin-top:0pt;height:10.35pt;width:4.55pt;mso-position-horizontal:right;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z4vdRNAAAAACAQAADwAAAAAAAAABACAAAAAi&#10;AAAAZHJzL2Rvd25yZXYueG1sUEsBAhQAFAAAAAgAh07iQCTX48MSAgAACQQAAA4AAAAAAAAAAQAg&#10;AAAAHwEAAGRycy9lMm9Eb2MueG1sUEsFBgAAAAAGAAYAWQEAAKMFAAAAAA==&#10;">
              <v:fill on="f" focussize="0,0"/>
              <v:stroke on="f"/>
              <v:imagedata o:title=""/>
              <o:lock v:ext="edit" aspectratio="f"/>
              <v:textbox inset="0mm,0mm,0mm,0mm" style="mso-fit-shape-to-text:t;">
                <w:txbxContent>
                  <w:p w14:paraId="126AB3C4">
                    <w:pPr>
                      <w:pStyle w:val="16"/>
                      <w:rPr>
                        <w:rStyle w:val="26"/>
                      </w:rPr>
                    </w:pPr>
                    <w:r>
                      <w:fldChar w:fldCharType="begin"/>
                    </w:r>
                    <w:r>
                      <w:rPr>
                        <w:rStyle w:val="26"/>
                      </w:rPr>
                      <w:instrText xml:space="preserve">PAGE  </w:instrText>
                    </w:r>
                    <w:r>
                      <w:fldChar w:fldCharType="separate"/>
                    </w:r>
                    <w:r>
                      <w:rPr>
                        <w:rStyle w:val="26"/>
                      </w:rPr>
                      <w:t>19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5D458">
    <w:pPr>
      <w:pStyle w:val="16"/>
    </w:pPr>
    <w:r>
      <w:rPr>
        <w:lang w:eastAsia="zh-CN"/>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76835" cy="175260"/>
              <wp:effectExtent l="0" t="0" r="0" b="0"/>
              <wp:wrapNone/>
              <wp:docPr id="87098890" name="文本框3"/>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wps:spPr>
                    <wps:txbx>
                      <w:txbxContent>
                        <w:p w14:paraId="1D533623">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wps:txbx>
                    <wps:bodyPr rot="0" vert="horz" wrap="none" lIns="0" tIns="0" rIns="0" bIns="0" anchor="t" anchorCtr="0" upright="1">
                      <a:spAutoFit/>
                    </wps:bodyPr>
                  </wps:wsp>
                </a:graphicData>
              </a:graphic>
            </wp:anchor>
          </w:drawing>
        </mc:Choice>
        <mc:Fallback>
          <w:pict>
            <v:shape id="文本框3" o:spid="_x0000_s1026" o:spt="202" type="#_x0000_t202" style="position:absolute;left:0pt;margin-top:0pt;height:13.8pt;width:6.05pt;mso-position-horizontal:right;mso-position-horizontal-relative:margin;mso-wrap-style:none;z-index:251660288;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rRHHHQAAAAAwEAAA8AAAAAAAAAAQAgAAAAIgAA&#10;AGRycy9kb3ducmV2LnhtbFBLAQIUABQAAAAIAIdO4kDvB/ozEAIAAAcEAAAOAAAAAAAAAAEAIAAA&#10;AB8BAABkcnMvZTJvRG9jLnhtbFBLBQYAAAAABgAGAFkBAAChBQAAAAA=&#10;">
              <v:fill on="f" focussize="0,0"/>
              <v:stroke on="f"/>
              <v:imagedata o:title=""/>
              <o:lock v:ext="edit" aspectratio="f"/>
              <v:textbox inset="0mm,0mm,0mm,0mm" style="mso-fit-shape-to-text:t;">
                <w:txbxContent>
                  <w:p w14:paraId="1D533623">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B2ED2">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8E52D">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68D3C">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C6058">
    <w:pPr>
      <w:pStyle w:val="17"/>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C74C74"/>
    <w:multiLevelType w:val="multilevel"/>
    <w:tmpl w:val="32C74C74"/>
    <w:lvl w:ilvl="0" w:tentative="0">
      <w:start w:val="1"/>
      <w:numFmt w:val="decimal"/>
      <w:suff w:val="space"/>
      <w:lvlText w:val="第%1节"/>
      <w:lvlJc w:val="left"/>
      <w:pPr>
        <w:ind w:left="0" w:firstLine="0"/>
      </w:pPr>
      <w:rPr>
        <w:rFonts w:hint="default"/>
        <w:color w:val="000000"/>
      </w:rPr>
    </w:lvl>
    <w:lvl w:ilvl="1" w:tentative="0">
      <w:start w:val="1"/>
      <w:numFmt w:val="lowerLetter"/>
      <w:lvlText w:val="%2)"/>
      <w:lvlJc w:val="left"/>
      <w:pPr>
        <w:ind w:left="5999" w:hanging="420"/>
      </w:pPr>
      <w:rPr>
        <w:rFonts w:hint="eastAsia"/>
      </w:rPr>
    </w:lvl>
    <w:lvl w:ilvl="2" w:tentative="0">
      <w:start w:val="1"/>
      <w:numFmt w:val="lowerRoman"/>
      <w:pStyle w:val="72"/>
      <w:lvlText w:val="%3."/>
      <w:lvlJc w:val="right"/>
      <w:pPr>
        <w:ind w:left="6419" w:hanging="420"/>
      </w:pPr>
      <w:rPr>
        <w:rFonts w:hint="eastAsia"/>
      </w:rPr>
    </w:lvl>
    <w:lvl w:ilvl="3" w:tentative="0">
      <w:start w:val="1"/>
      <w:numFmt w:val="decimal"/>
      <w:lvlText w:val="%4."/>
      <w:lvlJc w:val="left"/>
      <w:pPr>
        <w:ind w:left="6839" w:hanging="420"/>
      </w:pPr>
      <w:rPr>
        <w:rFonts w:hint="eastAsia"/>
      </w:rPr>
    </w:lvl>
    <w:lvl w:ilvl="4" w:tentative="0">
      <w:start w:val="1"/>
      <w:numFmt w:val="lowerLetter"/>
      <w:lvlText w:val="%5)"/>
      <w:lvlJc w:val="left"/>
      <w:pPr>
        <w:ind w:left="7259" w:hanging="420"/>
      </w:pPr>
      <w:rPr>
        <w:rFonts w:hint="eastAsia"/>
      </w:rPr>
    </w:lvl>
    <w:lvl w:ilvl="5" w:tentative="0">
      <w:start w:val="1"/>
      <w:numFmt w:val="lowerRoman"/>
      <w:lvlText w:val="%6."/>
      <w:lvlJc w:val="right"/>
      <w:pPr>
        <w:ind w:left="7679" w:hanging="420"/>
      </w:pPr>
      <w:rPr>
        <w:rFonts w:hint="eastAsia"/>
      </w:rPr>
    </w:lvl>
    <w:lvl w:ilvl="6" w:tentative="0">
      <w:start w:val="1"/>
      <w:numFmt w:val="decimal"/>
      <w:lvlText w:val="%7."/>
      <w:lvlJc w:val="left"/>
      <w:pPr>
        <w:ind w:left="8099" w:hanging="420"/>
      </w:pPr>
      <w:rPr>
        <w:rFonts w:hint="eastAsia"/>
      </w:rPr>
    </w:lvl>
    <w:lvl w:ilvl="7" w:tentative="0">
      <w:start w:val="1"/>
      <w:numFmt w:val="lowerLetter"/>
      <w:lvlText w:val="%8)"/>
      <w:lvlJc w:val="left"/>
      <w:pPr>
        <w:ind w:left="8519" w:hanging="420"/>
      </w:pPr>
      <w:rPr>
        <w:rFonts w:hint="eastAsia"/>
      </w:rPr>
    </w:lvl>
    <w:lvl w:ilvl="8" w:tentative="0">
      <w:start w:val="1"/>
      <w:numFmt w:val="lowerRoman"/>
      <w:lvlText w:val="%9."/>
      <w:lvlJc w:val="right"/>
      <w:pPr>
        <w:ind w:left="8939" w:hanging="420"/>
      </w:pPr>
      <w:rPr>
        <w:rFonts w:hint="eastAsia"/>
      </w:rPr>
    </w:lvl>
  </w:abstractNum>
  <w:abstractNum w:abstractNumId="1">
    <w:nsid w:val="6CEA2025"/>
    <w:multiLevelType w:val="multilevel"/>
    <w:tmpl w:val="6CEA2025"/>
    <w:lvl w:ilvl="0" w:tentative="0">
      <w:start w:val="1"/>
      <w:numFmt w:val="none"/>
      <w:pStyle w:val="71"/>
      <w:suff w:val="nothing"/>
      <w:lvlText w:val="%1"/>
      <w:lvlJc w:val="left"/>
      <w:pPr>
        <w:ind w:left="0" w:firstLine="0"/>
      </w:pPr>
      <w:rPr>
        <w:rFonts w:hint="eastAsia"/>
      </w:rPr>
    </w:lvl>
    <w:lvl w:ilvl="1" w:tentative="0">
      <w:start w:val="1"/>
      <w:numFmt w:val="decimal"/>
      <w:pStyle w:val="69"/>
      <w:suff w:val="nothing"/>
      <w:lvlText w:val="%1%2　"/>
      <w:lvlJc w:val="left"/>
      <w:pPr>
        <w:ind w:left="0" w:firstLine="0"/>
      </w:pPr>
      <w:rPr>
        <w:rFonts w:hint="default" w:ascii="黑体" w:hAnsi="黑体" w:eastAsia="黑体" w:cs="Times New Roman"/>
        <w:b w:val="0"/>
        <w:i w:val="0"/>
        <w:sz w:val="21"/>
      </w:rPr>
    </w:lvl>
    <w:lvl w:ilvl="2" w:tentative="0">
      <w:start w:val="1"/>
      <w:numFmt w:val="decimal"/>
      <w:pStyle w:val="70"/>
      <w:suff w:val="nothing"/>
      <w:lvlText w:val="%1%2.%3　"/>
      <w:lvlJc w:val="left"/>
      <w:pPr>
        <w:ind w:left="0" w:firstLine="0"/>
      </w:pPr>
      <w:rPr>
        <w:rFonts w:hint="default"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default" w:ascii="黑体" w:hAnsi="黑体" w:eastAsia="黑体" w:cs="Times New Roman"/>
        <w:b w:val="0"/>
        <w:i w:val="0"/>
        <w:sz w:val="21"/>
      </w:rPr>
    </w:lvl>
    <w:lvl w:ilvl="4" w:tentative="0">
      <w:start w:val="1"/>
      <w:numFmt w:val="decimal"/>
      <w:pStyle w:val="66"/>
      <w:suff w:val="nothing"/>
      <w:lvlText w:val="%1%2.%3.%4.%5　"/>
      <w:lvlJc w:val="left"/>
      <w:pPr>
        <w:ind w:left="4254" w:firstLine="0"/>
      </w:pPr>
      <w:rPr>
        <w:rFonts w:hint="eastAsia" w:ascii="黑体" w:eastAsia="黑体"/>
        <w:b w:val="0"/>
        <w:i w:val="0"/>
        <w:sz w:val="21"/>
      </w:rPr>
    </w:lvl>
    <w:lvl w:ilvl="5" w:tentative="0">
      <w:start w:val="1"/>
      <w:numFmt w:val="decimal"/>
      <w:pStyle w:val="67"/>
      <w:suff w:val="nothing"/>
      <w:lvlText w:val="%1%2.%3.%4.%5.%6　"/>
      <w:lvlJc w:val="left"/>
      <w:pPr>
        <w:ind w:left="0" w:firstLine="0"/>
      </w:pPr>
      <w:rPr>
        <w:rFonts w:hint="eastAsia" w:ascii="黑体" w:eastAsia="黑体"/>
        <w:b w:val="0"/>
        <w:i w:val="0"/>
        <w:sz w:val="21"/>
      </w:rPr>
    </w:lvl>
    <w:lvl w:ilvl="6" w:tentative="0">
      <w:start w:val="1"/>
      <w:numFmt w:val="decimal"/>
      <w:pStyle w:val="6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2ZjA5Mjc1NTEyZGY5OTFhMjI2ZWI2MTFlY2RlMTAifQ=="/>
  </w:docVars>
  <w:rsids>
    <w:rsidRoot w:val="00172A27"/>
    <w:rsid w:val="000004B4"/>
    <w:rsid w:val="0000129E"/>
    <w:rsid w:val="000015FF"/>
    <w:rsid w:val="00002833"/>
    <w:rsid w:val="00003204"/>
    <w:rsid w:val="000034CC"/>
    <w:rsid w:val="00004354"/>
    <w:rsid w:val="00005729"/>
    <w:rsid w:val="000064A1"/>
    <w:rsid w:val="000101A4"/>
    <w:rsid w:val="00010648"/>
    <w:rsid w:val="00011026"/>
    <w:rsid w:val="00011B9E"/>
    <w:rsid w:val="00011D70"/>
    <w:rsid w:val="000131A6"/>
    <w:rsid w:val="00013A55"/>
    <w:rsid w:val="00014E8D"/>
    <w:rsid w:val="000154BD"/>
    <w:rsid w:val="00016222"/>
    <w:rsid w:val="00016BAD"/>
    <w:rsid w:val="00017657"/>
    <w:rsid w:val="0002069B"/>
    <w:rsid w:val="00021AD4"/>
    <w:rsid w:val="00024510"/>
    <w:rsid w:val="00024DE8"/>
    <w:rsid w:val="00031F46"/>
    <w:rsid w:val="00033506"/>
    <w:rsid w:val="00033B7B"/>
    <w:rsid w:val="00033E97"/>
    <w:rsid w:val="00034AD2"/>
    <w:rsid w:val="00034C4C"/>
    <w:rsid w:val="000354C9"/>
    <w:rsid w:val="00035CEE"/>
    <w:rsid w:val="00041200"/>
    <w:rsid w:val="00043C6C"/>
    <w:rsid w:val="00043F0F"/>
    <w:rsid w:val="000454FC"/>
    <w:rsid w:val="00045BB0"/>
    <w:rsid w:val="00047F33"/>
    <w:rsid w:val="000513DE"/>
    <w:rsid w:val="0005233D"/>
    <w:rsid w:val="000528B6"/>
    <w:rsid w:val="0005726B"/>
    <w:rsid w:val="00060476"/>
    <w:rsid w:val="00060A32"/>
    <w:rsid w:val="00060EB1"/>
    <w:rsid w:val="00061971"/>
    <w:rsid w:val="000626F4"/>
    <w:rsid w:val="00063338"/>
    <w:rsid w:val="00065357"/>
    <w:rsid w:val="000654AB"/>
    <w:rsid w:val="00070AE7"/>
    <w:rsid w:val="00071719"/>
    <w:rsid w:val="00072B06"/>
    <w:rsid w:val="00075C06"/>
    <w:rsid w:val="00076B22"/>
    <w:rsid w:val="00077AD4"/>
    <w:rsid w:val="00077EFA"/>
    <w:rsid w:val="000810B8"/>
    <w:rsid w:val="00081EF5"/>
    <w:rsid w:val="0008272B"/>
    <w:rsid w:val="00082791"/>
    <w:rsid w:val="00084E48"/>
    <w:rsid w:val="00085366"/>
    <w:rsid w:val="0008791F"/>
    <w:rsid w:val="00087BD8"/>
    <w:rsid w:val="00090126"/>
    <w:rsid w:val="00090C25"/>
    <w:rsid w:val="0009197D"/>
    <w:rsid w:val="0009321C"/>
    <w:rsid w:val="0009342D"/>
    <w:rsid w:val="00097776"/>
    <w:rsid w:val="00097BBD"/>
    <w:rsid w:val="000A0023"/>
    <w:rsid w:val="000A1960"/>
    <w:rsid w:val="000A775B"/>
    <w:rsid w:val="000B13FD"/>
    <w:rsid w:val="000B249A"/>
    <w:rsid w:val="000B26C9"/>
    <w:rsid w:val="000B2FE3"/>
    <w:rsid w:val="000B40C8"/>
    <w:rsid w:val="000B624B"/>
    <w:rsid w:val="000C098E"/>
    <w:rsid w:val="000C2F2B"/>
    <w:rsid w:val="000C3803"/>
    <w:rsid w:val="000C3958"/>
    <w:rsid w:val="000C3B19"/>
    <w:rsid w:val="000C4AB4"/>
    <w:rsid w:val="000C512A"/>
    <w:rsid w:val="000C5F82"/>
    <w:rsid w:val="000D07AE"/>
    <w:rsid w:val="000D1618"/>
    <w:rsid w:val="000D19E0"/>
    <w:rsid w:val="000D4CF1"/>
    <w:rsid w:val="000D60FA"/>
    <w:rsid w:val="000D6F03"/>
    <w:rsid w:val="000D7290"/>
    <w:rsid w:val="000E02A5"/>
    <w:rsid w:val="000E3A8D"/>
    <w:rsid w:val="000E4586"/>
    <w:rsid w:val="000E6283"/>
    <w:rsid w:val="000E7588"/>
    <w:rsid w:val="000F2A53"/>
    <w:rsid w:val="000F7CC8"/>
    <w:rsid w:val="001017BB"/>
    <w:rsid w:val="001018BA"/>
    <w:rsid w:val="00102C1F"/>
    <w:rsid w:val="001039F7"/>
    <w:rsid w:val="0010565C"/>
    <w:rsid w:val="00107867"/>
    <w:rsid w:val="00114076"/>
    <w:rsid w:val="0011588E"/>
    <w:rsid w:val="00122E72"/>
    <w:rsid w:val="0012405C"/>
    <w:rsid w:val="001245F9"/>
    <w:rsid w:val="00126CB9"/>
    <w:rsid w:val="00130722"/>
    <w:rsid w:val="00136C9F"/>
    <w:rsid w:val="00137EE0"/>
    <w:rsid w:val="001438D4"/>
    <w:rsid w:val="00143F2A"/>
    <w:rsid w:val="00147DE3"/>
    <w:rsid w:val="00151122"/>
    <w:rsid w:val="00151312"/>
    <w:rsid w:val="00151C3E"/>
    <w:rsid w:val="001541AA"/>
    <w:rsid w:val="001543CA"/>
    <w:rsid w:val="00154D64"/>
    <w:rsid w:val="0015547A"/>
    <w:rsid w:val="00155C3E"/>
    <w:rsid w:val="00156230"/>
    <w:rsid w:val="00156385"/>
    <w:rsid w:val="00160342"/>
    <w:rsid w:val="00161C56"/>
    <w:rsid w:val="00161DC5"/>
    <w:rsid w:val="00161F34"/>
    <w:rsid w:val="00164F3B"/>
    <w:rsid w:val="00165811"/>
    <w:rsid w:val="001659C1"/>
    <w:rsid w:val="00167B47"/>
    <w:rsid w:val="00167CC4"/>
    <w:rsid w:val="00171FEB"/>
    <w:rsid w:val="00172A27"/>
    <w:rsid w:val="00172FA1"/>
    <w:rsid w:val="00174405"/>
    <w:rsid w:val="0017683F"/>
    <w:rsid w:val="00177B49"/>
    <w:rsid w:val="001809EA"/>
    <w:rsid w:val="00180DE6"/>
    <w:rsid w:val="00180F80"/>
    <w:rsid w:val="00182C72"/>
    <w:rsid w:val="0018360B"/>
    <w:rsid w:val="00184AC9"/>
    <w:rsid w:val="00185D19"/>
    <w:rsid w:val="00186193"/>
    <w:rsid w:val="00186C4F"/>
    <w:rsid w:val="00187BCA"/>
    <w:rsid w:val="001917F3"/>
    <w:rsid w:val="00192157"/>
    <w:rsid w:val="00193C47"/>
    <w:rsid w:val="0019477C"/>
    <w:rsid w:val="001A03E9"/>
    <w:rsid w:val="001A0CDF"/>
    <w:rsid w:val="001A3E82"/>
    <w:rsid w:val="001B10AC"/>
    <w:rsid w:val="001B20A3"/>
    <w:rsid w:val="001B39E4"/>
    <w:rsid w:val="001B577C"/>
    <w:rsid w:val="001B6571"/>
    <w:rsid w:val="001B7A7C"/>
    <w:rsid w:val="001C1B2C"/>
    <w:rsid w:val="001C1CE8"/>
    <w:rsid w:val="001C1DF3"/>
    <w:rsid w:val="001C6EF9"/>
    <w:rsid w:val="001C7260"/>
    <w:rsid w:val="001D22E6"/>
    <w:rsid w:val="001D322E"/>
    <w:rsid w:val="001D3ABC"/>
    <w:rsid w:val="001D6AC7"/>
    <w:rsid w:val="001D7C79"/>
    <w:rsid w:val="001D7C99"/>
    <w:rsid w:val="001E2F58"/>
    <w:rsid w:val="001E389B"/>
    <w:rsid w:val="001E4C10"/>
    <w:rsid w:val="001E58F2"/>
    <w:rsid w:val="001E6B6E"/>
    <w:rsid w:val="001E7110"/>
    <w:rsid w:val="001F00B3"/>
    <w:rsid w:val="001F047D"/>
    <w:rsid w:val="001F2000"/>
    <w:rsid w:val="001F25E6"/>
    <w:rsid w:val="001F2B7D"/>
    <w:rsid w:val="001F4EAA"/>
    <w:rsid w:val="001F5303"/>
    <w:rsid w:val="001F5387"/>
    <w:rsid w:val="001F622D"/>
    <w:rsid w:val="001F6E4A"/>
    <w:rsid w:val="00200C34"/>
    <w:rsid w:val="00203C1B"/>
    <w:rsid w:val="00205319"/>
    <w:rsid w:val="00205F19"/>
    <w:rsid w:val="00210B28"/>
    <w:rsid w:val="00213FCF"/>
    <w:rsid w:val="0021511F"/>
    <w:rsid w:val="00217205"/>
    <w:rsid w:val="00217BCD"/>
    <w:rsid w:val="002243B2"/>
    <w:rsid w:val="0022798E"/>
    <w:rsid w:val="00227AC5"/>
    <w:rsid w:val="002308A3"/>
    <w:rsid w:val="00230994"/>
    <w:rsid w:val="00231A94"/>
    <w:rsid w:val="00232534"/>
    <w:rsid w:val="00233130"/>
    <w:rsid w:val="002342D8"/>
    <w:rsid w:val="002345EE"/>
    <w:rsid w:val="00234E53"/>
    <w:rsid w:val="00235CE2"/>
    <w:rsid w:val="00236C3C"/>
    <w:rsid w:val="00236D88"/>
    <w:rsid w:val="0024029F"/>
    <w:rsid w:val="002409D3"/>
    <w:rsid w:val="002434F5"/>
    <w:rsid w:val="002448A2"/>
    <w:rsid w:val="00244F2E"/>
    <w:rsid w:val="00245A90"/>
    <w:rsid w:val="00247F81"/>
    <w:rsid w:val="0025037B"/>
    <w:rsid w:val="002524CD"/>
    <w:rsid w:val="002526A3"/>
    <w:rsid w:val="00253085"/>
    <w:rsid w:val="00253B92"/>
    <w:rsid w:val="00254E71"/>
    <w:rsid w:val="0025509D"/>
    <w:rsid w:val="00257090"/>
    <w:rsid w:val="00261C88"/>
    <w:rsid w:val="002627F3"/>
    <w:rsid w:val="002662A4"/>
    <w:rsid w:val="00266AE2"/>
    <w:rsid w:val="00270C8B"/>
    <w:rsid w:val="00271538"/>
    <w:rsid w:val="00272214"/>
    <w:rsid w:val="002741DB"/>
    <w:rsid w:val="002759DD"/>
    <w:rsid w:val="00275BC4"/>
    <w:rsid w:val="00276B79"/>
    <w:rsid w:val="00280337"/>
    <w:rsid w:val="00280AE1"/>
    <w:rsid w:val="00280D22"/>
    <w:rsid w:val="00281D3D"/>
    <w:rsid w:val="00283778"/>
    <w:rsid w:val="00286274"/>
    <w:rsid w:val="002864D3"/>
    <w:rsid w:val="00287F5E"/>
    <w:rsid w:val="0029339A"/>
    <w:rsid w:val="00293719"/>
    <w:rsid w:val="002948EA"/>
    <w:rsid w:val="00295942"/>
    <w:rsid w:val="00295AC6"/>
    <w:rsid w:val="0029792A"/>
    <w:rsid w:val="002A0059"/>
    <w:rsid w:val="002A0D12"/>
    <w:rsid w:val="002A1D6D"/>
    <w:rsid w:val="002A36B6"/>
    <w:rsid w:val="002B2375"/>
    <w:rsid w:val="002B27D5"/>
    <w:rsid w:val="002C05A4"/>
    <w:rsid w:val="002C0E88"/>
    <w:rsid w:val="002C2637"/>
    <w:rsid w:val="002C3452"/>
    <w:rsid w:val="002C424E"/>
    <w:rsid w:val="002C5B07"/>
    <w:rsid w:val="002C6ABB"/>
    <w:rsid w:val="002D046D"/>
    <w:rsid w:val="002D2695"/>
    <w:rsid w:val="002D2DE5"/>
    <w:rsid w:val="002D51C4"/>
    <w:rsid w:val="002D6BA5"/>
    <w:rsid w:val="002E04AF"/>
    <w:rsid w:val="002E0924"/>
    <w:rsid w:val="002E188D"/>
    <w:rsid w:val="002E1DAC"/>
    <w:rsid w:val="002E2182"/>
    <w:rsid w:val="002E3262"/>
    <w:rsid w:val="002E3D9A"/>
    <w:rsid w:val="002E7E37"/>
    <w:rsid w:val="002F0992"/>
    <w:rsid w:val="002F198E"/>
    <w:rsid w:val="002F24D7"/>
    <w:rsid w:val="002F298F"/>
    <w:rsid w:val="002F2D62"/>
    <w:rsid w:val="002F3A1F"/>
    <w:rsid w:val="002F58FC"/>
    <w:rsid w:val="002F5F5A"/>
    <w:rsid w:val="002F6D33"/>
    <w:rsid w:val="002F758B"/>
    <w:rsid w:val="003009D7"/>
    <w:rsid w:val="00301429"/>
    <w:rsid w:val="00301D08"/>
    <w:rsid w:val="003025C1"/>
    <w:rsid w:val="00302672"/>
    <w:rsid w:val="0030498C"/>
    <w:rsid w:val="00304CE7"/>
    <w:rsid w:val="00314562"/>
    <w:rsid w:val="00315752"/>
    <w:rsid w:val="00316C50"/>
    <w:rsid w:val="003170A1"/>
    <w:rsid w:val="00317801"/>
    <w:rsid w:val="0032026A"/>
    <w:rsid w:val="00320C93"/>
    <w:rsid w:val="00323896"/>
    <w:rsid w:val="0032401D"/>
    <w:rsid w:val="0032453E"/>
    <w:rsid w:val="00324DA8"/>
    <w:rsid w:val="00325623"/>
    <w:rsid w:val="0033160C"/>
    <w:rsid w:val="00333FF7"/>
    <w:rsid w:val="0033420E"/>
    <w:rsid w:val="0033589D"/>
    <w:rsid w:val="00340103"/>
    <w:rsid w:val="00340616"/>
    <w:rsid w:val="003412CF"/>
    <w:rsid w:val="003452E1"/>
    <w:rsid w:val="00350D13"/>
    <w:rsid w:val="00352521"/>
    <w:rsid w:val="00352E6A"/>
    <w:rsid w:val="0035391A"/>
    <w:rsid w:val="003544B0"/>
    <w:rsid w:val="00354DDA"/>
    <w:rsid w:val="00357806"/>
    <w:rsid w:val="00362951"/>
    <w:rsid w:val="003632B8"/>
    <w:rsid w:val="00363E13"/>
    <w:rsid w:val="00365897"/>
    <w:rsid w:val="00366321"/>
    <w:rsid w:val="00371284"/>
    <w:rsid w:val="00371517"/>
    <w:rsid w:val="00374C5F"/>
    <w:rsid w:val="00381204"/>
    <w:rsid w:val="003841D4"/>
    <w:rsid w:val="00384508"/>
    <w:rsid w:val="003918F5"/>
    <w:rsid w:val="0039273F"/>
    <w:rsid w:val="00392E51"/>
    <w:rsid w:val="00393207"/>
    <w:rsid w:val="00394981"/>
    <w:rsid w:val="0039654C"/>
    <w:rsid w:val="00397070"/>
    <w:rsid w:val="003974BB"/>
    <w:rsid w:val="003975C2"/>
    <w:rsid w:val="00397BF4"/>
    <w:rsid w:val="003A036C"/>
    <w:rsid w:val="003A1583"/>
    <w:rsid w:val="003A4550"/>
    <w:rsid w:val="003A61B2"/>
    <w:rsid w:val="003A77A5"/>
    <w:rsid w:val="003A79C5"/>
    <w:rsid w:val="003B1C53"/>
    <w:rsid w:val="003B34DE"/>
    <w:rsid w:val="003B4094"/>
    <w:rsid w:val="003B5A34"/>
    <w:rsid w:val="003B5A54"/>
    <w:rsid w:val="003C0663"/>
    <w:rsid w:val="003C18D3"/>
    <w:rsid w:val="003C5D0A"/>
    <w:rsid w:val="003C71BC"/>
    <w:rsid w:val="003D00CE"/>
    <w:rsid w:val="003D0728"/>
    <w:rsid w:val="003D31E3"/>
    <w:rsid w:val="003D3570"/>
    <w:rsid w:val="003D36C8"/>
    <w:rsid w:val="003D399F"/>
    <w:rsid w:val="003D43F7"/>
    <w:rsid w:val="003D5D3A"/>
    <w:rsid w:val="003E35E6"/>
    <w:rsid w:val="003E42D7"/>
    <w:rsid w:val="003E7C42"/>
    <w:rsid w:val="003E7C5E"/>
    <w:rsid w:val="003F00EC"/>
    <w:rsid w:val="003F0C7A"/>
    <w:rsid w:val="003F216E"/>
    <w:rsid w:val="003F2B53"/>
    <w:rsid w:val="003F41BE"/>
    <w:rsid w:val="003F626B"/>
    <w:rsid w:val="004007CF"/>
    <w:rsid w:val="00405D18"/>
    <w:rsid w:val="0040728F"/>
    <w:rsid w:val="00407E86"/>
    <w:rsid w:val="004122B1"/>
    <w:rsid w:val="0041277F"/>
    <w:rsid w:val="004135CC"/>
    <w:rsid w:val="00414CFB"/>
    <w:rsid w:val="0041626F"/>
    <w:rsid w:val="00416B25"/>
    <w:rsid w:val="00417138"/>
    <w:rsid w:val="0041750A"/>
    <w:rsid w:val="0041755B"/>
    <w:rsid w:val="00420C42"/>
    <w:rsid w:val="00421057"/>
    <w:rsid w:val="00421573"/>
    <w:rsid w:val="00421C86"/>
    <w:rsid w:val="00421E9A"/>
    <w:rsid w:val="004262A2"/>
    <w:rsid w:val="004328E8"/>
    <w:rsid w:val="00433CBF"/>
    <w:rsid w:val="00434AC0"/>
    <w:rsid w:val="00434E5D"/>
    <w:rsid w:val="00435C6D"/>
    <w:rsid w:val="00436967"/>
    <w:rsid w:val="0044265B"/>
    <w:rsid w:val="004474C3"/>
    <w:rsid w:val="00451310"/>
    <w:rsid w:val="0045193D"/>
    <w:rsid w:val="00451DE8"/>
    <w:rsid w:val="0045214F"/>
    <w:rsid w:val="004527EB"/>
    <w:rsid w:val="00454F9E"/>
    <w:rsid w:val="00454FE5"/>
    <w:rsid w:val="0045548F"/>
    <w:rsid w:val="0045579B"/>
    <w:rsid w:val="00456557"/>
    <w:rsid w:val="00457270"/>
    <w:rsid w:val="00463611"/>
    <w:rsid w:val="00464E8A"/>
    <w:rsid w:val="00466B1B"/>
    <w:rsid w:val="00472927"/>
    <w:rsid w:val="00474EDF"/>
    <w:rsid w:val="004774B0"/>
    <w:rsid w:val="00477C0A"/>
    <w:rsid w:val="00481212"/>
    <w:rsid w:val="00482567"/>
    <w:rsid w:val="004827D1"/>
    <w:rsid w:val="00482AFB"/>
    <w:rsid w:val="004850C2"/>
    <w:rsid w:val="00485D62"/>
    <w:rsid w:val="00485F6E"/>
    <w:rsid w:val="00486A60"/>
    <w:rsid w:val="00487440"/>
    <w:rsid w:val="004901C6"/>
    <w:rsid w:val="00492F56"/>
    <w:rsid w:val="004930D4"/>
    <w:rsid w:val="00493B97"/>
    <w:rsid w:val="00494F2E"/>
    <w:rsid w:val="004A059B"/>
    <w:rsid w:val="004A0C75"/>
    <w:rsid w:val="004A1837"/>
    <w:rsid w:val="004A1FBE"/>
    <w:rsid w:val="004A33B8"/>
    <w:rsid w:val="004A3DEB"/>
    <w:rsid w:val="004A70AB"/>
    <w:rsid w:val="004B16C8"/>
    <w:rsid w:val="004B1D25"/>
    <w:rsid w:val="004B2636"/>
    <w:rsid w:val="004B3C5A"/>
    <w:rsid w:val="004B4436"/>
    <w:rsid w:val="004B5147"/>
    <w:rsid w:val="004B5A11"/>
    <w:rsid w:val="004B5A8E"/>
    <w:rsid w:val="004B666C"/>
    <w:rsid w:val="004B6A4C"/>
    <w:rsid w:val="004C126C"/>
    <w:rsid w:val="004C329D"/>
    <w:rsid w:val="004C3B87"/>
    <w:rsid w:val="004C5CA3"/>
    <w:rsid w:val="004D0C4D"/>
    <w:rsid w:val="004D0E89"/>
    <w:rsid w:val="004D18A6"/>
    <w:rsid w:val="004D33F0"/>
    <w:rsid w:val="004D6046"/>
    <w:rsid w:val="004E001D"/>
    <w:rsid w:val="004E055C"/>
    <w:rsid w:val="004E08C2"/>
    <w:rsid w:val="004E595C"/>
    <w:rsid w:val="004F0F2D"/>
    <w:rsid w:val="004F12E3"/>
    <w:rsid w:val="004F3477"/>
    <w:rsid w:val="004F5494"/>
    <w:rsid w:val="004F559F"/>
    <w:rsid w:val="004F78AF"/>
    <w:rsid w:val="005003A5"/>
    <w:rsid w:val="00500B55"/>
    <w:rsid w:val="00501EBA"/>
    <w:rsid w:val="005023EA"/>
    <w:rsid w:val="00502B51"/>
    <w:rsid w:val="00505038"/>
    <w:rsid w:val="00505A93"/>
    <w:rsid w:val="00506E73"/>
    <w:rsid w:val="00511129"/>
    <w:rsid w:val="005120A2"/>
    <w:rsid w:val="005136FA"/>
    <w:rsid w:val="0051500D"/>
    <w:rsid w:val="00521D3E"/>
    <w:rsid w:val="005229ED"/>
    <w:rsid w:val="00525F35"/>
    <w:rsid w:val="00526D86"/>
    <w:rsid w:val="00526EF5"/>
    <w:rsid w:val="005301C7"/>
    <w:rsid w:val="0053233C"/>
    <w:rsid w:val="00533D0B"/>
    <w:rsid w:val="005345A8"/>
    <w:rsid w:val="005361FD"/>
    <w:rsid w:val="005362F8"/>
    <w:rsid w:val="00536576"/>
    <w:rsid w:val="00536CCC"/>
    <w:rsid w:val="00542629"/>
    <w:rsid w:val="00543D9B"/>
    <w:rsid w:val="005449A5"/>
    <w:rsid w:val="0055695A"/>
    <w:rsid w:val="005569AF"/>
    <w:rsid w:val="00561FAE"/>
    <w:rsid w:val="00562219"/>
    <w:rsid w:val="005624AC"/>
    <w:rsid w:val="00563BBD"/>
    <w:rsid w:val="005640BA"/>
    <w:rsid w:val="005656B4"/>
    <w:rsid w:val="005657CB"/>
    <w:rsid w:val="00565B27"/>
    <w:rsid w:val="00570062"/>
    <w:rsid w:val="005739B3"/>
    <w:rsid w:val="0057658E"/>
    <w:rsid w:val="0058083C"/>
    <w:rsid w:val="00583FC1"/>
    <w:rsid w:val="00584625"/>
    <w:rsid w:val="00585DE6"/>
    <w:rsid w:val="00585EE9"/>
    <w:rsid w:val="00590489"/>
    <w:rsid w:val="005912F6"/>
    <w:rsid w:val="0059143B"/>
    <w:rsid w:val="00591B52"/>
    <w:rsid w:val="0059222F"/>
    <w:rsid w:val="00592C6D"/>
    <w:rsid w:val="005933E7"/>
    <w:rsid w:val="00593E39"/>
    <w:rsid w:val="00597D06"/>
    <w:rsid w:val="005A22FE"/>
    <w:rsid w:val="005A3872"/>
    <w:rsid w:val="005A4B2E"/>
    <w:rsid w:val="005A568A"/>
    <w:rsid w:val="005A6122"/>
    <w:rsid w:val="005A779F"/>
    <w:rsid w:val="005B1D9E"/>
    <w:rsid w:val="005B26D6"/>
    <w:rsid w:val="005B2B3D"/>
    <w:rsid w:val="005B30DC"/>
    <w:rsid w:val="005C03C8"/>
    <w:rsid w:val="005C04E0"/>
    <w:rsid w:val="005C1400"/>
    <w:rsid w:val="005C147A"/>
    <w:rsid w:val="005C16CA"/>
    <w:rsid w:val="005C27D8"/>
    <w:rsid w:val="005C28C0"/>
    <w:rsid w:val="005C398F"/>
    <w:rsid w:val="005C51B5"/>
    <w:rsid w:val="005D0E06"/>
    <w:rsid w:val="005D1152"/>
    <w:rsid w:val="005D2BF2"/>
    <w:rsid w:val="005D2FE9"/>
    <w:rsid w:val="005D30E7"/>
    <w:rsid w:val="005D3228"/>
    <w:rsid w:val="005D3FD9"/>
    <w:rsid w:val="005D402E"/>
    <w:rsid w:val="005D5B33"/>
    <w:rsid w:val="005E03B8"/>
    <w:rsid w:val="005E0C43"/>
    <w:rsid w:val="005E1032"/>
    <w:rsid w:val="005E3A02"/>
    <w:rsid w:val="005E3B69"/>
    <w:rsid w:val="005E54B1"/>
    <w:rsid w:val="005E5970"/>
    <w:rsid w:val="005E5C19"/>
    <w:rsid w:val="005E5D50"/>
    <w:rsid w:val="005E7643"/>
    <w:rsid w:val="005E7B8F"/>
    <w:rsid w:val="005F12FD"/>
    <w:rsid w:val="005F2F51"/>
    <w:rsid w:val="005F4178"/>
    <w:rsid w:val="005F6B5D"/>
    <w:rsid w:val="006005B1"/>
    <w:rsid w:val="00601A8A"/>
    <w:rsid w:val="00601E3D"/>
    <w:rsid w:val="00602A29"/>
    <w:rsid w:val="006039C1"/>
    <w:rsid w:val="00604053"/>
    <w:rsid w:val="006049E6"/>
    <w:rsid w:val="00606303"/>
    <w:rsid w:val="00611A5B"/>
    <w:rsid w:val="006144BB"/>
    <w:rsid w:val="00617619"/>
    <w:rsid w:val="0062123F"/>
    <w:rsid w:val="00625093"/>
    <w:rsid w:val="00625680"/>
    <w:rsid w:val="00626A0F"/>
    <w:rsid w:val="0062745D"/>
    <w:rsid w:val="00627878"/>
    <w:rsid w:val="006334B5"/>
    <w:rsid w:val="006349B6"/>
    <w:rsid w:val="00636844"/>
    <w:rsid w:val="00642E2C"/>
    <w:rsid w:val="00644BF9"/>
    <w:rsid w:val="0065022F"/>
    <w:rsid w:val="00653A7B"/>
    <w:rsid w:val="006557D3"/>
    <w:rsid w:val="006607E3"/>
    <w:rsid w:val="00660C6D"/>
    <w:rsid w:val="00663A7B"/>
    <w:rsid w:val="00665184"/>
    <w:rsid w:val="00666BAE"/>
    <w:rsid w:val="006678EC"/>
    <w:rsid w:val="00667E30"/>
    <w:rsid w:val="00670A1D"/>
    <w:rsid w:val="00673094"/>
    <w:rsid w:val="00676536"/>
    <w:rsid w:val="00676A4C"/>
    <w:rsid w:val="006776B4"/>
    <w:rsid w:val="0067770D"/>
    <w:rsid w:val="0068114C"/>
    <w:rsid w:val="0068226E"/>
    <w:rsid w:val="0068463F"/>
    <w:rsid w:val="006853C2"/>
    <w:rsid w:val="00685D36"/>
    <w:rsid w:val="006916BD"/>
    <w:rsid w:val="00691BB5"/>
    <w:rsid w:val="00691EA3"/>
    <w:rsid w:val="00692709"/>
    <w:rsid w:val="00693070"/>
    <w:rsid w:val="006943C1"/>
    <w:rsid w:val="00695A17"/>
    <w:rsid w:val="00696B9E"/>
    <w:rsid w:val="006A5AB3"/>
    <w:rsid w:val="006B0535"/>
    <w:rsid w:val="006B0DBA"/>
    <w:rsid w:val="006B5626"/>
    <w:rsid w:val="006B56D6"/>
    <w:rsid w:val="006B7871"/>
    <w:rsid w:val="006C08EA"/>
    <w:rsid w:val="006C1423"/>
    <w:rsid w:val="006C2E19"/>
    <w:rsid w:val="006C698C"/>
    <w:rsid w:val="006D1011"/>
    <w:rsid w:val="006D17BA"/>
    <w:rsid w:val="006D2FF5"/>
    <w:rsid w:val="006D3083"/>
    <w:rsid w:val="006D53C5"/>
    <w:rsid w:val="006D637B"/>
    <w:rsid w:val="006D6A5A"/>
    <w:rsid w:val="006E150B"/>
    <w:rsid w:val="006E247A"/>
    <w:rsid w:val="006E41FA"/>
    <w:rsid w:val="006E55E5"/>
    <w:rsid w:val="006E683B"/>
    <w:rsid w:val="006E6C11"/>
    <w:rsid w:val="006F0AE7"/>
    <w:rsid w:val="006F0E91"/>
    <w:rsid w:val="006F1128"/>
    <w:rsid w:val="006F11FF"/>
    <w:rsid w:val="006F213A"/>
    <w:rsid w:val="006F320C"/>
    <w:rsid w:val="006F4E47"/>
    <w:rsid w:val="006F6892"/>
    <w:rsid w:val="00700632"/>
    <w:rsid w:val="00701E01"/>
    <w:rsid w:val="00701F71"/>
    <w:rsid w:val="0070384C"/>
    <w:rsid w:val="0070390E"/>
    <w:rsid w:val="00704336"/>
    <w:rsid w:val="007158DA"/>
    <w:rsid w:val="007165BA"/>
    <w:rsid w:val="007204B1"/>
    <w:rsid w:val="00720E59"/>
    <w:rsid w:val="00722233"/>
    <w:rsid w:val="00722B57"/>
    <w:rsid w:val="00723FC6"/>
    <w:rsid w:val="00724FBF"/>
    <w:rsid w:val="007251CF"/>
    <w:rsid w:val="00731A3C"/>
    <w:rsid w:val="00732928"/>
    <w:rsid w:val="00735C56"/>
    <w:rsid w:val="007375A8"/>
    <w:rsid w:val="00737FC9"/>
    <w:rsid w:val="00741223"/>
    <w:rsid w:val="00741E4E"/>
    <w:rsid w:val="00742718"/>
    <w:rsid w:val="0074341A"/>
    <w:rsid w:val="00743493"/>
    <w:rsid w:val="00743869"/>
    <w:rsid w:val="007457EB"/>
    <w:rsid w:val="00746E58"/>
    <w:rsid w:val="007525D4"/>
    <w:rsid w:val="0075297A"/>
    <w:rsid w:val="007532C7"/>
    <w:rsid w:val="00753865"/>
    <w:rsid w:val="00753CD1"/>
    <w:rsid w:val="00754587"/>
    <w:rsid w:val="00754CD1"/>
    <w:rsid w:val="0076200F"/>
    <w:rsid w:val="007659F1"/>
    <w:rsid w:val="007662C5"/>
    <w:rsid w:val="00767A12"/>
    <w:rsid w:val="007706EE"/>
    <w:rsid w:val="00770B69"/>
    <w:rsid w:val="007804C7"/>
    <w:rsid w:val="00782226"/>
    <w:rsid w:val="00782AF9"/>
    <w:rsid w:val="00782D9B"/>
    <w:rsid w:val="00784042"/>
    <w:rsid w:val="0078433B"/>
    <w:rsid w:val="00784589"/>
    <w:rsid w:val="00791B4C"/>
    <w:rsid w:val="00791D50"/>
    <w:rsid w:val="00794C5F"/>
    <w:rsid w:val="007A3EA7"/>
    <w:rsid w:val="007A57DE"/>
    <w:rsid w:val="007A5DA4"/>
    <w:rsid w:val="007A6135"/>
    <w:rsid w:val="007A651A"/>
    <w:rsid w:val="007A6F42"/>
    <w:rsid w:val="007B23EA"/>
    <w:rsid w:val="007B3FEC"/>
    <w:rsid w:val="007B5ACA"/>
    <w:rsid w:val="007B63AF"/>
    <w:rsid w:val="007B7DA5"/>
    <w:rsid w:val="007B7E0B"/>
    <w:rsid w:val="007C2A11"/>
    <w:rsid w:val="007C2BA4"/>
    <w:rsid w:val="007C31C9"/>
    <w:rsid w:val="007C43A3"/>
    <w:rsid w:val="007C468E"/>
    <w:rsid w:val="007C5623"/>
    <w:rsid w:val="007C60A6"/>
    <w:rsid w:val="007C6D61"/>
    <w:rsid w:val="007D1641"/>
    <w:rsid w:val="007D1914"/>
    <w:rsid w:val="007D216A"/>
    <w:rsid w:val="007D2429"/>
    <w:rsid w:val="007D41DB"/>
    <w:rsid w:val="007D5765"/>
    <w:rsid w:val="007E253A"/>
    <w:rsid w:val="007E3BEC"/>
    <w:rsid w:val="007E3E6D"/>
    <w:rsid w:val="007E4240"/>
    <w:rsid w:val="007E4705"/>
    <w:rsid w:val="007E47E1"/>
    <w:rsid w:val="007E623E"/>
    <w:rsid w:val="007E7D7B"/>
    <w:rsid w:val="007E7DFF"/>
    <w:rsid w:val="007F143A"/>
    <w:rsid w:val="007F155A"/>
    <w:rsid w:val="007F15F1"/>
    <w:rsid w:val="007F1CD2"/>
    <w:rsid w:val="007F3900"/>
    <w:rsid w:val="007F4C59"/>
    <w:rsid w:val="008026EF"/>
    <w:rsid w:val="008027A1"/>
    <w:rsid w:val="00803761"/>
    <w:rsid w:val="00803EA4"/>
    <w:rsid w:val="00804F02"/>
    <w:rsid w:val="00810F19"/>
    <w:rsid w:val="00811878"/>
    <w:rsid w:val="0081452A"/>
    <w:rsid w:val="00816CB2"/>
    <w:rsid w:val="00816DA9"/>
    <w:rsid w:val="00816F52"/>
    <w:rsid w:val="008174E1"/>
    <w:rsid w:val="008207CE"/>
    <w:rsid w:val="008213A1"/>
    <w:rsid w:val="00822BFD"/>
    <w:rsid w:val="00822CE2"/>
    <w:rsid w:val="00823BE3"/>
    <w:rsid w:val="00824E9D"/>
    <w:rsid w:val="008257FC"/>
    <w:rsid w:val="0082588B"/>
    <w:rsid w:val="00825F40"/>
    <w:rsid w:val="0082647C"/>
    <w:rsid w:val="00826AE4"/>
    <w:rsid w:val="008303E9"/>
    <w:rsid w:val="00830B60"/>
    <w:rsid w:val="008321EF"/>
    <w:rsid w:val="0083375E"/>
    <w:rsid w:val="00834A98"/>
    <w:rsid w:val="008352AA"/>
    <w:rsid w:val="0083582C"/>
    <w:rsid w:val="00837221"/>
    <w:rsid w:val="008428C2"/>
    <w:rsid w:val="00842E80"/>
    <w:rsid w:val="0084332C"/>
    <w:rsid w:val="00843EBF"/>
    <w:rsid w:val="00844087"/>
    <w:rsid w:val="00844A95"/>
    <w:rsid w:val="0085094C"/>
    <w:rsid w:val="00850B27"/>
    <w:rsid w:val="008538A4"/>
    <w:rsid w:val="00855E62"/>
    <w:rsid w:val="00857D68"/>
    <w:rsid w:val="00860BC0"/>
    <w:rsid w:val="0086101F"/>
    <w:rsid w:val="00862157"/>
    <w:rsid w:val="008623C4"/>
    <w:rsid w:val="00862C82"/>
    <w:rsid w:val="00864EED"/>
    <w:rsid w:val="008653A9"/>
    <w:rsid w:val="0086633E"/>
    <w:rsid w:val="008720C3"/>
    <w:rsid w:val="008726CE"/>
    <w:rsid w:val="008729A4"/>
    <w:rsid w:val="00872AA7"/>
    <w:rsid w:val="008736B5"/>
    <w:rsid w:val="00874602"/>
    <w:rsid w:val="00876A19"/>
    <w:rsid w:val="00877E08"/>
    <w:rsid w:val="00880998"/>
    <w:rsid w:val="00880E23"/>
    <w:rsid w:val="00883516"/>
    <w:rsid w:val="00884DC5"/>
    <w:rsid w:val="00887066"/>
    <w:rsid w:val="00892515"/>
    <w:rsid w:val="00893CE7"/>
    <w:rsid w:val="00896F0B"/>
    <w:rsid w:val="0089700F"/>
    <w:rsid w:val="008A27B7"/>
    <w:rsid w:val="008A3E9D"/>
    <w:rsid w:val="008A46A0"/>
    <w:rsid w:val="008A6C43"/>
    <w:rsid w:val="008B1D33"/>
    <w:rsid w:val="008B353E"/>
    <w:rsid w:val="008B3603"/>
    <w:rsid w:val="008B500C"/>
    <w:rsid w:val="008B64D8"/>
    <w:rsid w:val="008B6F97"/>
    <w:rsid w:val="008B7B03"/>
    <w:rsid w:val="008B7B06"/>
    <w:rsid w:val="008C027D"/>
    <w:rsid w:val="008C03D8"/>
    <w:rsid w:val="008C1E72"/>
    <w:rsid w:val="008C2D6A"/>
    <w:rsid w:val="008C380A"/>
    <w:rsid w:val="008C4A0C"/>
    <w:rsid w:val="008C6022"/>
    <w:rsid w:val="008D023C"/>
    <w:rsid w:val="008D145C"/>
    <w:rsid w:val="008D1E92"/>
    <w:rsid w:val="008D1F15"/>
    <w:rsid w:val="008D4340"/>
    <w:rsid w:val="008D579A"/>
    <w:rsid w:val="008D5C25"/>
    <w:rsid w:val="008D5F09"/>
    <w:rsid w:val="008D66DF"/>
    <w:rsid w:val="008D7C4B"/>
    <w:rsid w:val="008E13E8"/>
    <w:rsid w:val="008E1D7E"/>
    <w:rsid w:val="008E3157"/>
    <w:rsid w:val="008E5AF6"/>
    <w:rsid w:val="008E6386"/>
    <w:rsid w:val="008E659E"/>
    <w:rsid w:val="008E67F4"/>
    <w:rsid w:val="008E69CC"/>
    <w:rsid w:val="008E7D47"/>
    <w:rsid w:val="008E7DF3"/>
    <w:rsid w:val="008F1DCE"/>
    <w:rsid w:val="008F1FAD"/>
    <w:rsid w:val="008F4C97"/>
    <w:rsid w:val="008F7783"/>
    <w:rsid w:val="0090040F"/>
    <w:rsid w:val="00900DA1"/>
    <w:rsid w:val="0090512F"/>
    <w:rsid w:val="00906DF3"/>
    <w:rsid w:val="009078E7"/>
    <w:rsid w:val="00907C78"/>
    <w:rsid w:val="00912D69"/>
    <w:rsid w:val="00913A45"/>
    <w:rsid w:val="00913EB7"/>
    <w:rsid w:val="0091421F"/>
    <w:rsid w:val="009147DF"/>
    <w:rsid w:val="009175BE"/>
    <w:rsid w:val="00924210"/>
    <w:rsid w:val="00925340"/>
    <w:rsid w:val="00925B03"/>
    <w:rsid w:val="00926454"/>
    <w:rsid w:val="00934D6E"/>
    <w:rsid w:val="009362A4"/>
    <w:rsid w:val="00941EEC"/>
    <w:rsid w:val="00945D66"/>
    <w:rsid w:val="0094663E"/>
    <w:rsid w:val="00946C99"/>
    <w:rsid w:val="00947A1E"/>
    <w:rsid w:val="0095068B"/>
    <w:rsid w:val="009519C5"/>
    <w:rsid w:val="009534CE"/>
    <w:rsid w:val="009536A1"/>
    <w:rsid w:val="00954331"/>
    <w:rsid w:val="0095455C"/>
    <w:rsid w:val="00954DE4"/>
    <w:rsid w:val="0095514C"/>
    <w:rsid w:val="00960A39"/>
    <w:rsid w:val="009655AC"/>
    <w:rsid w:val="00965E3F"/>
    <w:rsid w:val="00971DAF"/>
    <w:rsid w:val="00971FD2"/>
    <w:rsid w:val="00973BC5"/>
    <w:rsid w:val="00974FFA"/>
    <w:rsid w:val="0097542C"/>
    <w:rsid w:val="009754B0"/>
    <w:rsid w:val="00981E47"/>
    <w:rsid w:val="00982D0E"/>
    <w:rsid w:val="0098491A"/>
    <w:rsid w:val="00985B1E"/>
    <w:rsid w:val="00985D91"/>
    <w:rsid w:val="0098600A"/>
    <w:rsid w:val="00986F94"/>
    <w:rsid w:val="009916C7"/>
    <w:rsid w:val="00991E7B"/>
    <w:rsid w:val="009A063B"/>
    <w:rsid w:val="009A11BF"/>
    <w:rsid w:val="009A22D2"/>
    <w:rsid w:val="009A2717"/>
    <w:rsid w:val="009A290F"/>
    <w:rsid w:val="009A337A"/>
    <w:rsid w:val="009A4C08"/>
    <w:rsid w:val="009A504B"/>
    <w:rsid w:val="009A567A"/>
    <w:rsid w:val="009A693E"/>
    <w:rsid w:val="009B00C0"/>
    <w:rsid w:val="009B29AF"/>
    <w:rsid w:val="009B45E8"/>
    <w:rsid w:val="009B6D8E"/>
    <w:rsid w:val="009B6F5A"/>
    <w:rsid w:val="009C0353"/>
    <w:rsid w:val="009C1F9E"/>
    <w:rsid w:val="009C319A"/>
    <w:rsid w:val="009C5044"/>
    <w:rsid w:val="009C6036"/>
    <w:rsid w:val="009C70FD"/>
    <w:rsid w:val="009C75AA"/>
    <w:rsid w:val="009C7633"/>
    <w:rsid w:val="009C7AA5"/>
    <w:rsid w:val="009D116E"/>
    <w:rsid w:val="009D198E"/>
    <w:rsid w:val="009D3812"/>
    <w:rsid w:val="009D3DB7"/>
    <w:rsid w:val="009D52A9"/>
    <w:rsid w:val="009D5F4A"/>
    <w:rsid w:val="009D62DF"/>
    <w:rsid w:val="009D722F"/>
    <w:rsid w:val="009D72D5"/>
    <w:rsid w:val="009E1DF2"/>
    <w:rsid w:val="009E5DBB"/>
    <w:rsid w:val="009E6396"/>
    <w:rsid w:val="009E70AA"/>
    <w:rsid w:val="009E7842"/>
    <w:rsid w:val="009E7EB8"/>
    <w:rsid w:val="009E7FE9"/>
    <w:rsid w:val="009F21F6"/>
    <w:rsid w:val="009F30B0"/>
    <w:rsid w:val="009F3716"/>
    <w:rsid w:val="009F4BF3"/>
    <w:rsid w:val="00A0139C"/>
    <w:rsid w:val="00A01F2E"/>
    <w:rsid w:val="00A02CF3"/>
    <w:rsid w:val="00A06226"/>
    <w:rsid w:val="00A066F4"/>
    <w:rsid w:val="00A072A5"/>
    <w:rsid w:val="00A10A17"/>
    <w:rsid w:val="00A11D91"/>
    <w:rsid w:val="00A12D52"/>
    <w:rsid w:val="00A1465A"/>
    <w:rsid w:val="00A149CB"/>
    <w:rsid w:val="00A14BA1"/>
    <w:rsid w:val="00A17662"/>
    <w:rsid w:val="00A21CEF"/>
    <w:rsid w:val="00A2209F"/>
    <w:rsid w:val="00A23848"/>
    <w:rsid w:val="00A261E9"/>
    <w:rsid w:val="00A3181C"/>
    <w:rsid w:val="00A31E0B"/>
    <w:rsid w:val="00A33095"/>
    <w:rsid w:val="00A3341C"/>
    <w:rsid w:val="00A37D78"/>
    <w:rsid w:val="00A41529"/>
    <w:rsid w:val="00A43706"/>
    <w:rsid w:val="00A437A5"/>
    <w:rsid w:val="00A45A00"/>
    <w:rsid w:val="00A512C6"/>
    <w:rsid w:val="00A52B72"/>
    <w:rsid w:val="00A52F3A"/>
    <w:rsid w:val="00A5445E"/>
    <w:rsid w:val="00A561FC"/>
    <w:rsid w:val="00A60B5E"/>
    <w:rsid w:val="00A62DFA"/>
    <w:rsid w:val="00A63DD0"/>
    <w:rsid w:val="00A65E10"/>
    <w:rsid w:val="00A66923"/>
    <w:rsid w:val="00A67D2E"/>
    <w:rsid w:val="00A714F8"/>
    <w:rsid w:val="00A71D55"/>
    <w:rsid w:val="00A74F37"/>
    <w:rsid w:val="00A75FC3"/>
    <w:rsid w:val="00A76DB1"/>
    <w:rsid w:val="00A8192C"/>
    <w:rsid w:val="00A847F5"/>
    <w:rsid w:val="00A85303"/>
    <w:rsid w:val="00A8551F"/>
    <w:rsid w:val="00A85FBF"/>
    <w:rsid w:val="00A86322"/>
    <w:rsid w:val="00A86598"/>
    <w:rsid w:val="00A86912"/>
    <w:rsid w:val="00A87E91"/>
    <w:rsid w:val="00A9026C"/>
    <w:rsid w:val="00A926AE"/>
    <w:rsid w:val="00A95236"/>
    <w:rsid w:val="00A956D2"/>
    <w:rsid w:val="00A97B1B"/>
    <w:rsid w:val="00AA0D3B"/>
    <w:rsid w:val="00AA104D"/>
    <w:rsid w:val="00AA16F1"/>
    <w:rsid w:val="00AA22AB"/>
    <w:rsid w:val="00AA2792"/>
    <w:rsid w:val="00AA30EB"/>
    <w:rsid w:val="00AA3B29"/>
    <w:rsid w:val="00AA3BD2"/>
    <w:rsid w:val="00AA3F8B"/>
    <w:rsid w:val="00AA4851"/>
    <w:rsid w:val="00AA4D75"/>
    <w:rsid w:val="00AA753A"/>
    <w:rsid w:val="00AB2278"/>
    <w:rsid w:val="00AB32C3"/>
    <w:rsid w:val="00AB3B08"/>
    <w:rsid w:val="00AB4BEB"/>
    <w:rsid w:val="00AB6974"/>
    <w:rsid w:val="00AB6CF4"/>
    <w:rsid w:val="00AC0E8E"/>
    <w:rsid w:val="00AC1428"/>
    <w:rsid w:val="00AC2945"/>
    <w:rsid w:val="00AC42AB"/>
    <w:rsid w:val="00AC4EBF"/>
    <w:rsid w:val="00AC5465"/>
    <w:rsid w:val="00AC5D52"/>
    <w:rsid w:val="00AC7E83"/>
    <w:rsid w:val="00AD0C8B"/>
    <w:rsid w:val="00AD1C96"/>
    <w:rsid w:val="00AD27C4"/>
    <w:rsid w:val="00AD5D60"/>
    <w:rsid w:val="00AD66B5"/>
    <w:rsid w:val="00AD673B"/>
    <w:rsid w:val="00AE3EC5"/>
    <w:rsid w:val="00AE6B0C"/>
    <w:rsid w:val="00AE6DE5"/>
    <w:rsid w:val="00AE7ECF"/>
    <w:rsid w:val="00AF0F90"/>
    <w:rsid w:val="00AF363D"/>
    <w:rsid w:val="00AF3745"/>
    <w:rsid w:val="00AF7AFA"/>
    <w:rsid w:val="00B00748"/>
    <w:rsid w:val="00B03692"/>
    <w:rsid w:val="00B03FC7"/>
    <w:rsid w:val="00B103A9"/>
    <w:rsid w:val="00B10BC0"/>
    <w:rsid w:val="00B13915"/>
    <w:rsid w:val="00B1580E"/>
    <w:rsid w:val="00B17592"/>
    <w:rsid w:val="00B20F70"/>
    <w:rsid w:val="00B24F4B"/>
    <w:rsid w:val="00B2518F"/>
    <w:rsid w:val="00B2557C"/>
    <w:rsid w:val="00B258FB"/>
    <w:rsid w:val="00B262EB"/>
    <w:rsid w:val="00B27A6E"/>
    <w:rsid w:val="00B30595"/>
    <w:rsid w:val="00B30EA8"/>
    <w:rsid w:val="00B325FD"/>
    <w:rsid w:val="00B34664"/>
    <w:rsid w:val="00B3525E"/>
    <w:rsid w:val="00B3691C"/>
    <w:rsid w:val="00B3696F"/>
    <w:rsid w:val="00B40138"/>
    <w:rsid w:val="00B40DD4"/>
    <w:rsid w:val="00B40FF0"/>
    <w:rsid w:val="00B438FD"/>
    <w:rsid w:val="00B43ED0"/>
    <w:rsid w:val="00B507FD"/>
    <w:rsid w:val="00B52E33"/>
    <w:rsid w:val="00B5599B"/>
    <w:rsid w:val="00B56DCB"/>
    <w:rsid w:val="00B57138"/>
    <w:rsid w:val="00B57515"/>
    <w:rsid w:val="00B6140D"/>
    <w:rsid w:val="00B62A4A"/>
    <w:rsid w:val="00B65F88"/>
    <w:rsid w:val="00B65FAE"/>
    <w:rsid w:val="00B67C54"/>
    <w:rsid w:val="00B70995"/>
    <w:rsid w:val="00B7564D"/>
    <w:rsid w:val="00B80020"/>
    <w:rsid w:val="00B84451"/>
    <w:rsid w:val="00B8455D"/>
    <w:rsid w:val="00B85252"/>
    <w:rsid w:val="00B85FB3"/>
    <w:rsid w:val="00B86AB5"/>
    <w:rsid w:val="00B86AF9"/>
    <w:rsid w:val="00B90059"/>
    <w:rsid w:val="00B9048B"/>
    <w:rsid w:val="00B939D6"/>
    <w:rsid w:val="00B976A8"/>
    <w:rsid w:val="00B9776F"/>
    <w:rsid w:val="00BA1EEA"/>
    <w:rsid w:val="00BA31AC"/>
    <w:rsid w:val="00BA3594"/>
    <w:rsid w:val="00BA47FE"/>
    <w:rsid w:val="00BA5B1D"/>
    <w:rsid w:val="00BA7DEE"/>
    <w:rsid w:val="00BB09CD"/>
    <w:rsid w:val="00BB0EDF"/>
    <w:rsid w:val="00BB2D10"/>
    <w:rsid w:val="00BB5E19"/>
    <w:rsid w:val="00BB5FFA"/>
    <w:rsid w:val="00BB7CB4"/>
    <w:rsid w:val="00BC14DB"/>
    <w:rsid w:val="00BC2756"/>
    <w:rsid w:val="00BC349A"/>
    <w:rsid w:val="00BC3950"/>
    <w:rsid w:val="00BC3AE5"/>
    <w:rsid w:val="00BC6E5D"/>
    <w:rsid w:val="00BC7401"/>
    <w:rsid w:val="00BD072F"/>
    <w:rsid w:val="00BD17B8"/>
    <w:rsid w:val="00BD26F8"/>
    <w:rsid w:val="00BD3D45"/>
    <w:rsid w:val="00BD458E"/>
    <w:rsid w:val="00BD545C"/>
    <w:rsid w:val="00BD64AA"/>
    <w:rsid w:val="00BD7B6A"/>
    <w:rsid w:val="00BE3626"/>
    <w:rsid w:val="00BE60BB"/>
    <w:rsid w:val="00BF0A2B"/>
    <w:rsid w:val="00BF1AC1"/>
    <w:rsid w:val="00BF282A"/>
    <w:rsid w:val="00BF4FE0"/>
    <w:rsid w:val="00BF63A1"/>
    <w:rsid w:val="00BF64A9"/>
    <w:rsid w:val="00BF6554"/>
    <w:rsid w:val="00BF703E"/>
    <w:rsid w:val="00C01933"/>
    <w:rsid w:val="00C02A35"/>
    <w:rsid w:val="00C03431"/>
    <w:rsid w:val="00C036B2"/>
    <w:rsid w:val="00C0434E"/>
    <w:rsid w:val="00C04AF3"/>
    <w:rsid w:val="00C05E5F"/>
    <w:rsid w:val="00C06281"/>
    <w:rsid w:val="00C0784F"/>
    <w:rsid w:val="00C1149A"/>
    <w:rsid w:val="00C13221"/>
    <w:rsid w:val="00C13ACC"/>
    <w:rsid w:val="00C14163"/>
    <w:rsid w:val="00C15C3C"/>
    <w:rsid w:val="00C15CDC"/>
    <w:rsid w:val="00C16B83"/>
    <w:rsid w:val="00C1748B"/>
    <w:rsid w:val="00C24E54"/>
    <w:rsid w:val="00C25558"/>
    <w:rsid w:val="00C27971"/>
    <w:rsid w:val="00C304B6"/>
    <w:rsid w:val="00C31969"/>
    <w:rsid w:val="00C31DA5"/>
    <w:rsid w:val="00C3328B"/>
    <w:rsid w:val="00C34731"/>
    <w:rsid w:val="00C34973"/>
    <w:rsid w:val="00C36948"/>
    <w:rsid w:val="00C40FD2"/>
    <w:rsid w:val="00C45A78"/>
    <w:rsid w:val="00C45B63"/>
    <w:rsid w:val="00C52722"/>
    <w:rsid w:val="00C54B8E"/>
    <w:rsid w:val="00C562E4"/>
    <w:rsid w:val="00C56CBD"/>
    <w:rsid w:val="00C60E02"/>
    <w:rsid w:val="00C62121"/>
    <w:rsid w:val="00C644F5"/>
    <w:rsid w:val="00C70529"/>
    <w:rsid w:val="00C72F33"/>
    <w:rsid w:val="00C7394C"/>
    <w:rsid w:val="00C77322"/>
    <w:rsid w:val="00C808BD"/>
    <w:rsid w:val="00C85235"/>
    <w:rsid w:val="00C85510"/>
    <w:rsid w:val="00C85ABD"/>
    <w:rsid w:val="00C87033"/>
    <w:rsid w:val="00C939E0"/>
    <w:rsid w:val="00C943F0"/>
    <w:rsid w:val="00CA1304"/>
    <w:rsid w:val="00CA2949"/>
    <w:rsid w:val="00CA3DBB"/>
    <w:rsid w:val="00CA6017"/>
    <w:rsid w:val="00CB28AC"/>
    <w:rsid w:val="00CB429C"/>
    <w:rsid w:val="00CB4B60"/>
    <w:rsid w:val="00CB4FBB"/>
    <w:rsid w:val="00CB5917"/>
    <w:rsid w:val="00CB5993"/>
    <w:rsid w:val="00CB6208"/>
    <w:rsid w:val="00CB6864"/>
    <w:rsid w:val="00CB7659"/>
    <w:rsid w:val="00CC0F53"/>
    <w:rsid w:val="00CC1374"/>
    <w:rsid w:val="00CC24B2"/>
    <w:rsid w:val="00CC29BE"/>
    <w:rsid w:val="00CC31D5"/>
    <w:rsid w:val="00CC3B01"/>
    <w:rsid w:val="00CC4C72"/>
    <w:rsid w:val="00CC7E27"/>
    <w:rsid w:val="00CD2A26"/>
    <w:rsid w:val="00CD58E6"/>
    <w:rsid w:val="00CE1268"/>
    <w:rsid w:val="00CE17B5"/>
    <w:rsid w:val="00CE2503"/>
    <w:rsid w:val="00CE3F6E"/>
    <w:rsid w:val="00CE4122"/>
    <w:rsid w:val="00CE43BF"/>
    <w:rsid w:val="00CE593E"/>
    <w:rsid w:val="00CE5D34"/>
    <w:rsid w:val="00CE5DAB"/>
    <w:rsid w:val="00CE69DA"/>
    <w:rsid w:val="00CE6B2B"/>
    <w:rsid w:val="00CE6BC3"/>
    <w:rsid w:val="00CE7BB0"/>
    <w:rsid w:val="00CF24E3"/>
    <w:rsid w:val="00CF4649"/>
    <w:rsid w:val="00CF5308"/>
    <w:rsid w:val="00CF5475"/>
    <w:rsid w:val="00CF5F40"/>
    <w:rsid w:val="00CF6B9A"/>
    <w:rsid w:val="00D030E3"/>
    <w:rsid w:val="00D0556C"/>
    <w:rsid w:val="00D06328"/>
    <w:rsid w:val="00D068A9"/>
    <w:rsid w:val="00D077CA"/>
    <w:rsid w:val="00D102F2"/>
    <w:rsid w:val="00D10470"/>
    <w:rsid w:val="00D1144A"/>
    <w:rsid w:val="00D13D56"/>
    <w:rsid w:val="00D1542A"/>
    <w:rsid w:val="00D15B58"/>
    <w:rsid w:val="00D15E50"/>
    <w:rsid w:val="00D161D0"/>
    <w:rsid w:val="00D203D4"/>
    <w:rsid w:val="00D22E26"/>
    <w:rsid w:val="00D25B58"/>
    <w:rsid w:val="00D261BA"/>
    <w:rsid w:val="00D301F7"/>
    <w:rsid w:val="00D31109"/>
    <w:rsid w:val="00D314FC"/>
    <w:rsid w:val="00D31FFD"/>
    <w:rsid w:val="00D32168"/>
    <w:rsid w:val="00D338AE"/>
    <w:rsid w:val="00D345E2"/>
    <w:rsid w:val="00D3495F"/>
    <w:rsid w:val="00D373FA"/>
    <w:rsid w:val="00D41E9D"/>
    <w:rsid w:val="00D46718"/>
    <w:rsid w:val="00D46A96"/>
    <w:rsid w:val="00D46F41"/>
    <w:rsid w:val="00D5234F"/>
    <w:rsid w:val="00D55CD5"/>
    <w:rsid w:val="00D60199"/>
    <w:rsid w:val="00D642AD"/>
    <w:rsid w:val="00D655A9"/>
    <w:rsid w:val="00D6689F"/>
    <w:rsid w:val="00D66FEB"/>
    <w:rsid w:val="00D672C6"/>
    <w:rsid w:val="00D67735"/>
    <w:rsid w:val="00D71A22"/>
    <w:rsid w:val="00D74D5D"/>
    <w:rsid w:val="00D759E4"/>
    <w:rsid w:val="00D807B3"/>
    <w:rsid w:val="00D81AAC"/>
    <w:rsid w:val="00D826BC"/>
    <w:rsid w:val="00D84215"/>
    <w:rsid w:val="00D8428C"/>
    <w:rsid w:val="00D842AA"/>
    <w:rsid w:val="00D870A0"/>
    <w:rsid w:val="00D901C5"/>
    <w:rsid w:val="00D9151A"/>
    <w:rsid w:val="00D95024"/>
    <w:rsid w:val="00D95AAA"/>
    <w:rsid w:val="00D95CF8"/>
    <w:rsid w:val="00D95D48"/>
    <w:rsid w:val="00DA14C2"/>
    <w:rsid w:val="00DA1DCF"/>
    <w:rsid w:val="00DA67FB"/>
    <w:rsid w:val="00DB3AE1"/>
    <w:rsid w:val="00DB6EC9"/>
    <w:rsid w:val="00DC07D5"/>
    <w:rsid w:val="00DC2C3B"/>
    <w:rsid w:val="00DC5B7C"/>
    <w:rsid w:val="00DC6746"/>
    <w:rsid w:val="00DD2860"/>
    <w:rsid w:val="00DD4D9B"/>
    <w:rsid w:val="00DD792B"/>
    <w:rsid w:val="00DE02C4"/>
    <w:rsid w:val="00DE0356"/>
    <w:rsid w:val="00DE194A"/>
    <w:rsid w:val="00DE1B19"/>
    <w:rsid w:val="00DE2663"/>
    <w:rsid w:val="00DE31F8"/>
    <w:rsid w:val="00DE3873"/>
    <w:rsid w:val="00DF21BC"/>
    <w:rsid w:val="00DF3E1C"/>
    <w:rsid w:val="00DF3E29"/>
    <w:rsid w:val="00DF56D4"/>
    <w:rsid w:val="00DF7A62"/>
    <w:rsid w:val="00E0358E"/>
    <w:rsid w:val="00E10D8B"/>
    <w:rsid w:val="00E1157A"/>
    <w:rsid w:val="00E11870"/>
    <w:rsid w:val="00E123C9"/>
    <w:rsid w:val="00E13389"/>
    <w:rsid w:val="00E13697"/>
    <w:rsid w:val="00E13938"/>
    <w:rsid w:val="00E14183"/>
    <w:rsid w:val="00E20517"/>
    <w:rsid w:val="00E227BB"/>
    <w:rsid w:val="00E254D7"/>
    <w:rsid w:val="00E260C3"/>
    <w:rsid w:val="00E263CF"/>
    <w:rsid w:val="00E27570"/>
    <w:rsid w:val="00E27A78"/>
    <w:rsid w:val="00E27CF8"/>
    <w:rsid w:val="00E30185"/>
    <w:rsid w:val="00E30623"/>
    <w:rsid w:val="00E3093E"/>
    <w:rsid w:val="00E31E91"/>
    <w:rsid w:val="00E32451"/>
    <w:rsid w:val="00E35AB8"/>
    <w:rsid w:val="00E367DE"/>
    <w:rsid w:val="00E412DF"/>
    <w:rsid w:val="00E43679"/>
    <w:rsid w:val="00E44D92"/>
    <w:rsid w:val="00E47509"/>
    <w:rsid w:val="00E50BAC"/>
    <w:rsid w:val="00E5164C"/>
    <w:rsid w:val="00E5446C"/>
    <w:rsid w:val="00E54581"/>
    <w:rsid w:val="00E56B24"/>
    <w:rsid w:val="00E63D2D"/>
    <w:rsid w:val="00E654D9"/>
    <w:rsid w:val="00E71063"/>
    <w:rsid w:val="00E730D7"/>
    <w:rsid w:val="00E7519E"/>
    <w:rsid w:val="00E771F7"/>
    <w:rsid w:val="00E77847"/>
    <w:rsid w:val="00E80AF1"/>
    <w:rsid w:val="00E819FC"/>
    <w:rsid w:val="00E853DB"/>
    <w:rsid w:val="00E9084D"/>
    <w:rsid w:val="00E92B19"/>
    <w:rsid w:val="00E956E2"/>
    <w:rsid w:val="00E95733"/>
    <w:rsid w:val="00E96BE1"/>
    <w:rsid w:val="00E96EAE"/>
    <w:rsid w:val="00E97FDD"/>
    <w:rsid w:val="00EA2BAF"/>
    <w:rsid w:val="00EA5E56"/>
    <w:rsid w:val="00EB2728"/>
    <w:rsid w:val="00EB6A6F"/>
    <w:rsid w:val="00EB71E7"/>
    <w:rsid w:val="00EB7B1F"/>
    <w:rsid w:val="00EC0714"/>
    <w:rsid w:val="00EC0CBA"/>
    <w:rsid w:val="00EC1962"/>
    <w:rsid w:val="00EC1D5A"/>
    <w:rsid w:val="00EC2112"/>
    <w:rsid w:val="00EC3AFE"/>
    <w:rsid w:val="00EC3CE3"/>
    <w:rsid w:val="00EC4274"/>
    <w:rsid w:val="00EC5A09"/>
    <w:rsid w:val="00EC70A3"/>
    <w:rsid w:val="00EC76AD"/>
    <w:rsid w:val="00EC7810"/>
    <w:rsid w:val="00ED0EFC"/>
    <w:rsid w:val="00ED2F88"/>
    <w:rsid w:val="00ED3B2F"/>
    <w:rsid w:val="00ED41B0"/>
    <w:rsid w:val="00ED4428"/>
    <w:rsid w:val="00ED4AF7"/>
    <w:rsid w:val="00ED4D66"/>
    <w:rsid w:val="00ED6560"/>
    <w:rsid w:val="00ED6E82"/>
    <w:rsid w:val="00ED770D"/>
    <w:rsid w:val="00ED7A5C"/>
    <w:rsid w:val="00ED7D63"/>
    <w:rsid w:val="00EE049A"/>
    <w:rsid w:val="00EE101E"/>
    <w:rsid w:val="00EE13A0"/>
    <w:rsid w:val="00EE15AF"/>
    <w:rsid w:val="00EE281B"/>
    <w:rsid w:val="00EE2BAA"/>
    <w:rsid w:val="00EE4484"/>
    <w:rsid w:val="00EE58E5"/>
    <w:rsid w:val="00EF2728"/>
    <w:rsid w:val="00EF3A68"/>
    <w:rsid w:val="00EF44FF"/>
    <w:rsid w:val="00EF575E"/>
    <w:rsid w:val="00EF7516"/>
    <w:rsid w:val="00EF7926"/>
    <w:rsid w:val="00EF7B0D"/>
    <w:rsid w:val="00F000F7"/>
    <w:rsid w:val="00F00F67"/>
    <w:rsid w:val="00F00FCC"/>
    <w:rsid w:val="00F01BB3"/>
    <w:rsid w:val="00F04D19"/>
    <w:rsid w:val="00F0553F"/>
    <w:rsid w:val="00F05CF0"/>
    <w:rsid w:val="00F06964"/>
    <w:rsid w:val="00F10F6E"/>
    <w:rsid w:val="00F10FBF"/>
    <w:rsid w:val="00F11DB7"/>
    <w:rsid w:val="00F127F4"/>
    <w:rsid w:val="00F14C57"/>
    <w:rsid w:val="00F15998"/>
    <w:rsid w:val="00F15B3C"/>
    <w:rsid w:val="00F20DB4"/>
    <w:rsid w:val="00F23D6D"/>
    <w:rsid w:val="00F23E36"/>
    <w:rsid w:val="00F23EE9"/>
    <w:rsid w:val="00F26DE5"/>
    <w:rsid w:val="00F27CA6"/>
    <w:rsid w:val="00F27EB3"/>
    <w:rsid w:val="00F30575"/>
    <w:rsid w:val="00F30969"/>
    <w:rsid w:val="00F31D24"/>
    <w:rsid w:val="00F31F9B"/>
    <w:rsid w:val="00F32642"/>
    <w:rsid w:val="00F35139"/>
    <w:rsid w:val="00F4006B"/>
    <w:rsid w:val="00F410CC"/>
    <w:rsid w:val="00F451E3"/>
    <w:rsid w:val="00F52A13"/>
    <w:rsid w:val="00F544DF"/>
    <w:rsid w:val="00F5529C"/>
    <w:rsid w:val="00F564C7"/>
    <w:rsid w:val="00F56D41"/>
    <w:rsid w:val="00F57AA3"/>
    <w:rsid w:val="00F57C85"/>
    <w:rsid w:val="00F663D4"/>
    <w:rsid w:val="00F67FDE"/>
    <w:rsid w:val="00F701E1"/>
    <w:rsid w:val="00F719E6"/>
    <w:rsid w:val="00F721C6"/>
    <w:rsid w:val="00F7302F"/>
    <w:rsid w:val="00F7330B"/>
    <w:rsid w:val="00F74C74"/>
    <w:rsid w:val="00F75876"/>
    <w:rsid w:val="00F773A9"/>
    <w:rsid w:val="00F77451"/>
    <w:rsid w:val="00F8418A"/>
    <w:rsid w:val="00F846C5"/>
    <w:rsid w:val="00F8585A"/>
    <w:rsid w:val="00F8745F"/>
    <w:rsid w:val="00F876ED"/>
    <w:rsid w:val="00F87AD5"/>
    <w:rsid w:val="00F90867"/>
    <w:rsid w:val="00F93C2D"/>
    <w:rsid w:val="00F9758C"/>
    <w:rsid w:val="00FA0013"/>
    <w:rsid w:val="00FA081E"/>
    <w:rsid w:val="00FA2417"/>
    <w:rsid w:val="00FA33B1"/>
    <w:rsid w:val="00FA33BD"/>
    <w:rsid w:val="00FA506A"/>
    <w:rsid w:val="00FA7B57"/>
    <w:rsid w:val="00FB0267"/>
    <w:rsid w:val="00FB2F48"/>
    <w:rsid w:val="00FB3911"/>
    <w:rsid w:val="00FB7D43"/>
    <w:rsid w:val="00FC2DC4"/>
    <w:rsid w:val="00FC36E9"/>
    <w:rsid w:val="00FC4153"/>
    <w:rsid w:val="00FD1183"/>
    <w:rsid w:val="00FD2142"/>
    <w:rsid w:val="00FD33BB"/>
    <w:rsid w:val="00FD4B5A"/>
    <w:rsid w:val="00FD6B52"/>
    <w:rsid w:val="00FD7A23"/>
    <w:rsid w:val="00FD7AC8"/>
    <w:rsid w:val="00FE0503"/>
    <w:rsid w:val="00FE2CCA"/>
    <w:rsid w:val="00FE3341"/>
    <w:rsid w:val="00FF05ED"/>
    <w:rsid w:val="00FF1FD9"/>
    <w:rsid w:val="00FF21A5"/>
    <w:rsid w:val="00FF2D30"/>
    <w:rsid w:val="00FF3A9D"/>
    <w:rsid w:val="00FF3C91"/>
    <w:rsid w:val="00FF3F49"/>
    <w:rsid w:val="00FF46C8"/>
    <w:rsid w:val="00FF4C37"/>
    <w:rsid w:val="00FF54F9"/>
    <w:rsid w:val="00FF658B"/>
    <w:rsid w:val="00FF7A9B"/>
    <w:rsid w:val="00FF7E16"/>
    <w:rsid w:val="01243261"/>
    <w:rsid w:val="01336FF2"/>
    <w:rsid w:val="03DE37AB"/>
    <w:rsid w:val="052D57C2"/>
    <w:rsid w:val="091660EE"/>
    <w:rsid w:val="0B0E2F1D"/>
    <w:rsid w:val="0B8C79A0"/>
    <w:rsid w:val="0E8C6E3E"/>
    <w:rsid w:val="0ED5245B"/>
    <w:rsid w:val="0FBF2686"/>
    <w:rsid w:val="111F7805"/>
    <w:rsid w:val="11BE5610"/>
    <w:rsid w:val="11FC7EAB"/>
    <w:rsid w:val="131D6F40"/>
    <w:rsid w:val="15212D2E"/>
    <w:rsid w:val="16FA57BE"/>
    <w:rsid w:val="188473DD"/>
    <w:rsid w:val="1B5D2CA2"/>
    <w:rsid w:val="224B7893"/>
    <w:rsid w:val="23F8149D"/>
    <w:rsid w:val="25A07824"/>
    <w:rsid w:val="276B6C1D"/>
    <w:rsid w:val="288C3690"/>
    <w:rsid w:val="28996C52"/>
    <w:rsid w:val="2A902874"/>
    <w:rsid w:val="2A9E0A92"/>
    <w:rsid w:val="2ACD0453"/>
    <w:rsid w:val="2B1477FA"/>
    <w:rsid w:val="2CDD5276"/>
    <w:rsid w:val="2D790CEC"/>
    <w:rsid w:val="2E384AD7"/>
    <w:rsid w:val="2F1A4F11"/>
    <w:rsid w:val="2F225285"/>
    <w:rsid w:val="30315919"/>
    <w:rsid w:val="3168799C"/>
    <w:rsid w:val="32E14AE7"/>
    <w:rsid w:val="341B5661"/>
    <w:rsid w:val="36BD0C63"/>
    <w:rsid w:val="38BF4A9E"/>
    <w:rsid w:val="39671C70"/>
    <w:rsid w:val="3A873056"/>
    <w:rsid w:val="3B642625"/>
    <w:rsid w:val="3BF64543"/>
    <w:rsid w:val="41301247"/>
    <w:rsid w:val="42652864"/>
    <w:rsid w:val="463B112C"/>
    <w:rsid w:val="48474839"/>
    <w:rsid w:val="49AB2384"/>
    <w:rsid w:val="4A184F40"/>
    <w:rsid w:val="4D4667D9"/>
    <w:rsid w:val="4E1E74EE"/>
    <w:rsid w:val="4F083545"/>
    <w:rsid w:val="4F8970B8"/>
    <w:rsid w:val="522F60E5"/>
    <w:rsid w:val="53290751"/>
    <w:rsid w:val="54080CF8"/>
    <w:rsid w:val="57C56077"/>
    <w:rsid w:val="581F3B12"/>
    <w:rsid w:val="5CE81691"/>
    <w:rsid w:val="5E0814BE"/>
    <w:rsid w:val="608B66A0"/>
    <w:rsid w:val="61BA27D8"/>
    <w:rsid w:val="62197FAA"/>
    <w:rsid w:val="643B7C00"/>
    <w:rsid w:val="66DE574E"/>
    <w:rsid w:val="66E6284F"/>
    <w:rsid w:val="68151D76"/>
    <w:rsid w:val="68ED2339"/>
    <w:rsid w:val="6923653C"/>
    <w:rsid w:val="6C115D0A"/>
    <w:rsid w:val="6C8F0F67"/>
    <w:rsid w:val="7380649C"/>
    <w:rsid w:val="769A7C41"/>
    <w:rsid w:val="77C07EC5"/>
    <w:rsid w:val="7AAE415C"/>
    <w:rsid w:val="7C175198"/>
    <w:rsid w:val="7D4F4535"/>
    <w:rsid w:val="7D6C0299"/>
    <w:rsid w:val="7DA10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29"/>
    <w:autoRedefine/>
    <w:qFormat/>
    <w:uiPriority w:val="0"/>
    <w:pPr>
      <w:keepNext/>
      <w:spacing w:before="240" w:after="60"/>
      <w:outlineLvl w:val="0"/>
    </w:pPr>
    <w:rPr>
      <w:rFonts w:ascii="Cambria" w:hAnsi="Cambria"/>
      <w:b/>
      <w:bCs/>
      <w:kern w:val="32"/>
      <w:sz w:val="32"/>
      <w:szCs w:val="32"/>
      <w:lang w:bidi="ar-SA"/>
    </w:rPr>
  </w:style>
  <w:style w:type="paragraph" w:styleId="3">
    <w:name w:val="heading 2"/>
    <w:basedOn w:val="1"/>
    <w:next w:val="1"/>
    <w:link w:val="30"/>
    <w:autoRedefine/>
    <w:qFormat/>
    <w:uiPriority w:val="0"/>
    <w:pPr>
      <w:keepNext/>
      <w:spacing w:before="240" w:after="60"/>
      <w:outlineLvl w:val="1"/>
    </w:pPr>
    <w:rPr>
      <w:rFonts w:ascii="Cambria" w:hAnsi="Cambria"/>
      <w:b/>
      <w:bCs/>
      <w:i/>
      <w:iCs/>
      <w:sz w:val="28"/>
      <w:szCs w:val="28"/>
      <w:lang w:bidi="ar-SA"/>
    </w:rPr>
  </w:style>
  <w:style w:type="paragraph" w:styleId="4">
    <w:name w:val="heading 3"/>
    <w:basedOn w:val="1"/>
    <w:next w:val="1"/>
    <w:link w:val="31"/>
    <w:autoRedefine/>
    <w:qFormat/>
    <w:uiPriority w:val="0"/>
    <w:pPr>
      <w:keepNext/>
      <w:spacing w:before="240" w:after="60"/>
      <w:outlineLvl w:val="2"/>
    </w:pPr>
    <w:rPr>
      <w:rFonts w:ascii="Cambria" w:hAnsi="Cambria"/>
      <w:b/>
      <w:bCs/>
      <w:sz w:val="26"/>
      <w:szCs w:val="26"/>
      <w:lang w:bidi="ar-SA"/>
    </w:rPr>
  </w:style>
  <w:style w:type="paragraph" w:styleId="5">
    <w:name w:val="heading 4"/>
    <w:basedOn w:val="1"/>
    <w:next w:val="1"/>
    <w:link w:val="32"/>
    <w:autoRedefine/>
    <w:qFormat/>
    <w:uiPriority w:val="0"/>
    <w:pPr>
      <w:keepNext/>
      <w:spacing w:before="240" w:after="60"/>
      <w:outlineLvl w:val="3"/>
    </w:pPr>
    <w:rPr>
      <w:b/>
      <w:bCs/>
      <w:sz w:val="28"/>
      <w:szCs w:val="28"/>
      <w:lang w:bidi="ar-SA"/>
    </w:rPr>
  </w:style>
  <w:style w:type="paragraph" w:styleId="6">
    <w:name w:val="heading 5"/>
    <w:basedOn w:val="1"/>
    <w:next w:val="1"/>
    <w:link w:val="33"/>
    <w:autoRedefine/>
    <w:qFormat/>
    <w:uiPriority w:val="0"/>
    <w:pPr>
      <w:spacing w:before="240" w:after="60"/>
      <w:outlineLvl w:val="4"/>
    </w:pPr>
    <w:rPr>
      <w:b/>
      <w:bCs/>
      <w:i/>
      <w:iCs/>
      <w:sz w:val="26"/>
      <w:szCs w:val="26"/>
      <w:lang w:bidi="ar-SA"/>
    </w:rPr>
  </w:style>
  <w:style w:type="paragraph" w:styleId="7">
    <w:name w:val="heading 6"/>
    <w:basedOn w:val="1"/>
    <w:next w:val="1"/>
    <w:link w:val="34"/>
    <w:autoRedefine/>
    <w:qFormat/>
    <w:uiPriority w:val="0"/>
    <w:pPr>
      <w:spacing w:before="240" w:after="60"/>
      <w:outlineLvl w:val="5"/>
    </w:pPr>
    <w:rPr>
      <w:b/>
      <w:bCs/>
      <w:sz w:val="20"/>
      <w:szCs w:val="20"/>
      <w:lang w:bidi="ar-SA"/>
    </w:rPr>
  </w:style>
  <w:style w:type="paragraph" w:styleId="8">
    <w:name w:val="heading 7"/>
    <w:basedOn w:val="1"/>
    <w:next w:val="1"/>
    <w:link w:val="35"/>
    <w:autoRedefine/>
    <w:qFormat/>
    <w:uiPriority w:val="0"/>
    <w:pPr>
      <w:spacing w:before="240" w:after="60"/>
      <w:outlineLvl w:val="6"/>
    </w:pPr>
    <w:rPr>
      <w:lang w:bidi="ar-SA"/>
    </w:rPr>
  </w:style>
  <w:style w:type="paragraph" w:styleId="9">
    <w:name w:val="heading 8"/>
    <w:basedOn w:val="1"/>
    <w:next w:val="1"/>
    <w:link w:val="36"/>
    <w:autoRedefine/>
    <w:qFormat/>
    <w:uiPriority w:val="0"/>
    <w:pPr>
      <w:spacing w:before="240" w:after="60"/>
      <w:outlineLvl w:val="7"/>
    </w:pPr>
    <w:rPr>
      <w:i/>
      <w:iCs/>
      <w:lang w:bidi="ar-SA"/>
    </w:rPr>
  </w:style>
  <w:style w:type="paragraph" w:styleId="10">
    <w:name w:val="heading 9"/>
    <w:basedOn w:val="1"/>
    <w:next w:val="1"/>
    <w:link w:val="37"/>
    <w:autoRedefine/>
    <w:qFormat/>
    <w:uiPriority w:val="0"/>
    <w:pPr>
      <w:spacing w:before="240" w:after="60"/>
      <w:outlineLvl w:val="8"/>
    </w:pPr>
    <w:rPr>
      <w:rFonts w:ascii="Cambria" w:hAnsi="Cambria"/>
      <w:sz w:val="20"/>
      <w:szCs w:val="20"/>
      <w:lang w:bidi="ar-SA"/>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annotation text"/>
    <w:basedOn w:val="1"/>
    <w:link w:val="38"/>
    <w:autoRedefine/>
    <w:qFormat/>
    <w:uiPriority w:val="0"/>
    <w:rPr>
      <w:sz w:val="21"/>
      <w:szCs w:val="21"/>
      <w:lang w:bidi="ar-SA"/>
    </w:rPr>
  </w:style>
  <w:style w:type="paragraph" w:styleId="12">
    <w:name w:val="Body Text"/>
    <w:basedOn w:val="1"/>
    <w:autoRedefine/>
    <w:qFormat/>
    <w:uiPriority w:val="1"/>
    <w:rPr>
      <w:rFonts w:ascii="宋体" w:hAnsi="宋体" w:cs="宋体"/>
      <w:sz w:val="21"/>
      <w:szCs w:val="21"/>
    </w:rPr>
  </w:style>
  <w:style w:type="paragraph" w:styleId="13">
    <w:name w:val="Plain Text"/>
    <w:basedOn w:val="1"/>
    <w:link w:val="39"/>
    <w:autoRedefine/>
    <w:qFormat/>
    <w:uiPriority w:val="0"/>
    <w:rPr>
      <w:rFonts w:ascii="宋体" w:hAnsi="Courier New"/>
      <w:sz w:val="21"/>
      <w:szCs w:val="21"/>
      <w:lang w:bidi="ar-SA"/>
    </w:rPr>
  </w:style>
  <w:style w:type="paragraph" w:styleId="14">
    <w:name w:val="Date"/>
    <w:basedOn w:val="1"/>
    <w:next w:val="1"/>
    <w:link w:val="40"/>
    <w:autoRedefine/>
    <w:qFormat/>
    <w:uiPriority w:val="0"/>
    <w:pPr>
      <w:ind w:left="100" w:leftChars="2500"/>
    </w:pPr>
    <w:rPr>
      <w:sz w:val="21"/>
      <w:szCs w:val="21"/>
      <w:lang w:bidi="ar-SA"/>
    </w:rPr>
  </w:style>
  <w:style w:type="paragraph" w:styleId="15">
    <w:name w:val="Balloon Text"/>
    <w:basedOn w:val="1"/>
    <w:link w:val="41"/>
    <w:autoRedefine/>
    <w:qFormat/>
    <w:uiPriority w:val="0"/>
    <w:rPr>
      <w:sz w:val="18"/>
      <w:szCs w:val="18"/>
      <w:lang w:bidi="ar-SA"/>
    </w:rPr>
  </w:style>
  <w:style w:type="paragraph" w:styleId="16">
    <w:name w:val="footer"/>
    <w:basedOn w:val="1"/>
    <w:link w:val="42"/>
    <w:autoRedefine/>
    <w:qFormat/>
    <w:uiPriority w:val="0"/>
    <w:pPr>
      <w:tabs>
        <w:tab w:val="center" w:pos="4153"/>
        <w:tab w:val="right" w:pos="8306"/>
      </w:tabs>
      <w:snapToGrid w:val="0"/>
    </w:pPr>
    <w:rPr>
      <w:sz w:val="18"/>
      <w:szCs w:val="18"/>
      <w:lang w:bidi="ar-SA"/>
    </w:rPr>
  </w:style>
  <w:style w:type="paragraph" w:styleId="17">
    <w:name w:val="header"/>
    <w:basedOn w:val="1"/>
    <w:link w:val="43"/>
    <w:autoRedefine/>
    <w:qFormat/>
    <w:uiPriority w:val="0"/>
    <w:pPr>
      <w:pBdr>
        <w:bottom w:val="single" w:color="auto" w:sz="6" w:space="1"/>
      </w:pBdr>
      <w:tabs>
        <w:tab w:val="center" w:pos="4153"/>
        <w:tab w:val="right" w:pos="8306"/>
      </w:tabs>
      <w:snapToGrid w:val="0"/>
      <w:jc w:val="center"/>
    </w:pPr>
    <w:rPr>
      <w:sz w:val="18"/>
      <w:szCs w:val="18"/>
      <w:lang w:bidi="ar-SA"/>
    </w:rPr>
  </w:style>
  <w:style w:type="paragraph" w:styleId="18">
    <w:name w:val="Subtitle"/>
    <w:basedOn w:val="1"/>
    <w:next w:val="1"/>
    <w:link w:val="44"/>
    <w:autoRedefine/>
    <w:qFormat/>
    <w:uiPriority w:val="0"/>
    <w:pPr>
      <w:spacing w:after="60"/>
      <w:jc w:val="center"/>
      <w:outlineLvl w:val="1"/>
    </w:pPr>
    <w:rPr>
      <w:rFonts w:ascii="Cambria" w:hAnsi="Cambria"/>
      <w:lang w:bidi="ar-SA"/>
    </w:rPr>
  </w:style>
  <w:style w:type="paragraph" w:styleId="19">
    <w:name w:val="Normal (Web)"/>
    <w:basedOn w:val="1"/>
    <w:autoRedefine/>
    <w:unhideWhenUsed/>
    <w:qFormat/>
    <w:uiPriority w:val="99"/>
    <w:pPr>
      <w:spacing w:before="100" w:beforeAutospacing="1" w:after="100" w:afterAutospacing="1"/>
    </w:pPr>
    <w:rPr>
      <w:rFonts w:ascii="宋体" w:hAnsi="宋体" w:cs="宋体"/>
      <w:lang w:eastAsia="zh-CN" w:bidi="ar-SA"/>
    </w:rPr>
  </w:style>
  <w:style w:type="paragraph" w:styleId="20">
    <w:name w:val="Title"/>
    <w:basedOn w:val="1"/>
    <w:next w:val="1"/>
    <w:link w:val="45"/>
    <w:autoRedefine/>
    <w:qFormat/>
    <w:uiPriority w:val="0"/>
    <w:pPr>
      <w:spacing w:before="240" w:after="60"/>
      <w:jc w:val="center"/>
      <w:outlineLvl w:val="0"/>
    </w:pPr>
    <w:rPr>
      <w:rFonts w:ascii="Cambria" w:hAnsi="Cambria"/>
      <w:b/>
      <w:bCs/>
      <w:kern w:val="28"/>
      <w:sz w:val="32"/>
      <w:szCs w:val="32"/>
      <w:lang w:bidi="ar-SA"/>
    </w:rPr>
  </w:style>
  <w:style w:type="paragraph" w:styleId="21">
    <w:name w:val="annotation subject"/>
    <w:basedOn w:val="11"/>
    <w:next w:val="11"/>
    <w:autoRedefine/>
    <w:qFormat/>
    <w:uiPriority w:val="0"/>
    <w:rPr>
      <w:rFonts w:ascii="Calibri" w:hAnsi="Calibri"/>
      <w:b/>
      <w:bCs/>
      <w:sz w:val="24"/>
      <w:szCs w:val="24"/>
    </w:rPr>
  </w:style>
  <w:style w:type="table" w:styleId="23">
    <w:name w:val="Table Grid"/>
    <w:basedOn w:val="2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autoRedefine/>
    <w:qFormat/>
    <w:uiPriority w:val="0"/>
    <w:rPr>
      <w:b/>
      <w:bCs/>
    </w:rPr>
  </w:style>
  <w:style w:type="character" w:styleId="26">
    <w:name w:val="page number"/>
    <w:autoRedefine/>
    <w:qFormat/>
    <w:uiPriority w:val="0"/>
    <w:rPr>
      <w:rFonts w:ascii="Times New Roman" w:hAnsi="Times New Roman" w:eastAsia="宋体"/>
      <w:sz w:val="18"/>
    </w:rPr>
  </w:style>
  <w:style w:type="character" w:styleId="27">
    <w:name w:val="Emphasis"/>
    <w:autoRedefine/>
    <w:qFormat/>
    <w:uiPriority w:val="20"/>
    <w:rPr>
      <w:rFonts w:ascii="Calibri" w:hAnsi="Calibri"/>
      <w:b/>
      <w:i/>
      <w:iCs/>
    </w:rPr>
  </w:style>
  <w:style w:type="character" w:styleId="28">
    <w:name w:val="annotation reference"/>
    <w:autoRedefine/>
    <w:qFormat/>
    <w:uiPriority w:val="0"/>
    <w:rPr>
      <w:sz w:val="21"/>
      <w:szCs w:val="21"/>
    </w:rPr>
  </w:style>
  <w:style w:type="character" w:customStyle="1" w:styleId="29">
    <w:name w:val="标题 1 字符"/>
    <w:link w:val="2"/>
    <w:autoRedefine/>
    <w:qFormat/>
    <w:uiPriority w:val="0"/>
    <w:rPr>
      <w:rFonts w:ascii="Cambria" w:hAnsi="Cambria" w:eastAsia="宋体"/>
      <w:b/>
      <w:bCs/>
      <w:kern w:val="32"/>
      <w:sz w:val="32"/>
      <w:szCs w:val="32"/>
    </w:rPr>
  </w:style>
  <w:style w:type="character" w:customStyle="1" w:styleId="30">
    <w:name w:val="标题 2 字符"/>
    <w:link w:val="3"/>
    <w:autoRedefine/>
    <w:qFormat/>
    <w:uiPriority w:val="0"/>
    <w:rPr>
      <w:rFonts w:ascii="Cambria" w:hAnsi="Cambria" w:eastAsia="宋体"/>
      <w:b/>
      <w:bCs/>
      <w:i/>
      <w:iCs/>
      <w:sz w:val="28"/>
      <w:szCs w:val="28"/>
    </w:rPr>
  </w:style>
  <w:style w:type="character" w:customStyle="1" w:styleId="31">
    <w:name w:val="标题 3 字符"/>
    <w:link w:val="4"/>
    <w:autoRedefine/>
    <w:qFormat/>
    <w:uiPriority w:val="0"/>
    <w:rPr>
      <w:rFonts w:ascii="Cambria" w:hAnsi="Cambria" w:eastAsia="宋体"/>
      <w:b/>
      <w:bCs/>
      <w:sz w:val="26"/>
      <w:szCs w:val="26"/>
    </w:rPr>
  </w:style>
  <w:style w:type="character" w:customStyle="1" w:styleId="32">
    <w:name w:val="标题 4 字符"/>
    <w:link w:val="5"/>
    <w:autoRedefine/>
    <w:qFormat/>
    <w:uiPriority w:val="0"/>
    <w:rPr>
      <w:b/>
      <w:bCs/>
      <w:sz w:val="28"/>
      <w:szCs w:val="28"/>
    </w:rPr>
  </w:style>
  <w:style w:type="character" w:customStyle="1" w:styleId="33">
    <w:name w:val="标题 5 字符"/>
    <w:link w:val="6"/>
    <w:autoRedefine/>
    <w:qFormat/>
    <w:uiPriority w:val="0"/>
    <w:rPr>
      <w:b/>
      <w:bCs/>
      <w:i/>
      <w:iCs/>
      <w:sz w:val="26"/>
      <w:szCs w:val="26"/>
    </w:rPr>
  </w:style>
  <w:style w:type="character" w:customStyle="1" w:styleId="34">
    <w:name w:val="标题 6 字符"/>
    <w:link w:val="7"/>
    <w:autoRedefine/>
    <w:qFormat/>
    <w:uiPriority w:val="0"/>
    <w:rPr>
      <w:b/>
      <w:bCs/>
    </w:rPr>
  </w:style>
  <w:style w:type="character" w:customStyle="1" w:styleId="35">
    <w:name w:val="标题 7 字符"/>
    <w:link w:val="8"/>
    <w:autoRedefine/>
    <w:qFormat/>
    <w:uiPriority w:val="0"/>
    <w:rPr>
      <w:sz w:val="24"/>
      <w:szCs w:val="24"/>
    </w:rPr>
  </w:style>
  <w:style w:type="character" w:customStyle="1" w:styleId="36">
    <w:name w:val="标题 8 字符"/>
    <w:link w:val="9"/>
    <w:autoRedefine/>
    <w:qFormat/>
    <w:uiPriority w:val="0"/>
    <w:rPr>
      <w:i/>
      <w:iCs/>
      <w:sz w:val="24"/>
      <w:szCs w:val="24"/>
    </w:rPr>
  </w:style>
  <w:style w:type="character" w:customStyle="1" w:styleId="37">
    <w:name w:val="标题 9 字符"/>
    <w:link w:val="10"/>
    <w:autoRedefine/>
    <w:qFormat/>
    <w:uiPriority w:val="0"/>
    <w:rPr>
      <w:rFonts w:ascii="Cambria" w:hAnsi="Cambria" w:eastAsia="宋体"/>
    </w:rPr>
  </w:style>
  <w:style w:type="character" w:customStyle="1" w:styleId="38">
    <w:name w:val="批注文字 字符"/>
    <w:link w:val="11"/>
    <w:autoRedefine/>
    <w:qFormat/>
    <w:uiPriority w:val="0"/>
    <w:rPr>
      <w:rFonts w:ascii="Times New Roman" w:hAnsi="Times New Roman" w:eastAsia="宋体" w:cs="Times New Roman"/>
      <w:sz w:val="21"/>
      <w:szCs w:val="21"/>
    </w:rPr>
  </w:style>
  <w:style w:type="character" w:customStyle="1" w:styleId="39">
    <w:name w:val="纯文本 字符"/>
    <w:link w:val="13"/>
    <w:autoRedefine/>
    <w:qFormat/>
    <w:uiPriority w:val="0"/>
    <w:rPr>
      <w:rFonts w:ascii="宋体" w:hAnsi="Courier New" w:eastAsia="宋体" w:cs="宋体"/>
      <w:sz w:val="21"/>
      <w:szCs w:val="21"/>
    </w:rPr>
  </w:style>
  <w:style w:type="character" w:customStyle="1" w:styleId="40">
    <w:name w:val="日期 字符"/>
    <w:link w:val="14"/>
    <w:autoRedefine/>
    <w:qFormat/>
    <w:uiPriority w:val="0"/>
    <w:rPr>
      <w:rFonts w:ascii="Times New Roman" w:hAnsi="Times New Roman" w:eastAsia="宋体" w:cs="Times New Roman"/>
      <w:sz w:val="21"/>
      <w:szCs w:val="21"/>
    </w:rPr>
  </w:style>
  <w:style w:type="character" w:customStyle="1" w:styleId="41">
    <w:name w:val="批注框文本 字符"/>
    <w:link w:val="15"/>
    <w:autoRedefine/>
    <w:qFormat/>
    <w:uiPriority w:val="0"/>
    <w:rPr>
      <w:sz w:val="18"/>
      <w:szCs w:val="18"/>
    </w:rPr>
  </w:style>
  <w:style w:type="character" w:customStyle="1" w:styleId="42">
    <w:name w:val="页脚 字符"/>
    <w:link w:val="16"/>
    <w:autoRedefine/>
    <w:qFormat/>
    <w:uiPriority w:val="0"/>
    <w:rPr>
      <w:rFonts w:ascii="Times New Roman" w:hAnsi="Times New Roman" w:eastAsia="宋体" w:cs="Times New Roman"/>
      <w:sz w:val="18"/>
      <w:szCs w:val="18"/>
    </w:rPr>
  </w:style>
  <w:style w:type="character" w:customStyle="1" w:styleId="43">
    <w:name w:val="页眉 字符"/>
    <w:link w:val="17"/>
    <w:autoRedefine/>
    <w:qFormat/>
    <w:uiPriority w:val="0"/>
    <w:rPr>
      <w:rFonts w:ascii="Times New Roman" w:hAnsi="Times New Roman" w:eastAsia="宋体" w:cs="Times New Roman"/>
      <w:sz w:val="18"/>
      <w:szCs w:val="18"/>
    </w:rPr>
  </w:style>
  <w:style w:type="character" w:customStyle="1" w:styleId="44">
    <w:name w:val="副标题 字符"/>
    <w:link w:val="18"/>
    <w:autoRedefine/>
    <w:qFormat/>
    <w:uiPriority w:val="0"/>
    <w:rPr>
      <w:rFonts w:ascii="Cambria" w:hAnsi="Cambria" w:eastAsia="宋体"/>
      <w:sz w:val="24"/>
      <w:szCs w:val="24"/>
    </w:rPr>
  </w:style>
  <w:style w:type="character" w:customStyle="1" w:styleId="45">
    <w:name w:val="标题 字符"/>
    <w:link w:val="20"/>
    <w:autoRedefine/>
    <w:qFormat/>
    <w:uiPriority w:val="0"/>
    <w:rPr>
      <w:rFonts w:ascii="Cambria" w:hAnsi="Cambria" w:eastAsia="宋体"/>
      <w:b/>
      <w:bCs/>
      <w:kern w:val="28"/>
      <w:sz w:val="32"/>
      <w:szCs w:val="32"/>
    </w:rPr>
  </w:style>
  <w:style w:type="character" w:customStyle="1" w:styleId="46">
    <w:name w:val="书籍标题1"/>
    <w:autoRedefine/>
    <w:qFormat/>
    <w:uiPriority w:val="0"/>
    <w:rPr>
      <w:rFonts w:ascii="Cambria" w:hAnsi="Cambria" w:eastAsia="宋体"/>
      <w:b/>
      <w:i/>
      <w:sz w:val="24"/>
      <w:szCs w:val="24"/>
    </w:rPr>
  </w:style>
  <w:style w:type="character" w:customStyle="1" w:styleId="47">
    <w:name w:val="引用 字符"/>
    <w:link w:val="48"/>
    <w:autoRedefine/>
    <w:qFormat/>
    <w:uiPriority w:val="0"/>
    <w:rPr>
      <w:i/>
      <w:sz w:val="24"/>
      <w:szCs w:val="24"/>
    </w:rPr>
  </w:style>
  <w:style w:type="paragraph" w:styleId="48">
    <w:name w:val="Quote"/>
    <w:basedOn w:val="1"/>
    <w:next w:val="1"/>
    <w:link w:val="47"/>
    <w:autoRedefine/>
    <w:qFormat/>
    <w:uiPriority w:val="0"/>
    <w:rPr>
      <w:i/>
      <w:lang w:bidi="ar-SA"/>
    </w:rPr>
  </w:style>
  <w:style w:type="character" w:customStyle="1" w:styleId="49">
    <w:name w:val="不明显强调1"/>
    <w:autoRedefine/>
    <w:qFormat/>
    <w:uiPriority w:val="0"/>
    <w:rPr>
      <w:i/>
      <w:color w:val="5A5A5A"/>
    </w:rPr>
  </w:style>
  <w:style w:type="character" w:customStyle="1" w:styleId="50">
    <w:name w:val="明显参考1"/>
    <w:autoRedefine/>
    <w:qFormat/>
    <w:uiPriority w:val="0"/>
    <w:rPr>
      <w:b/>
      <w:sz w:val="24"/>
      <w:u w:val="single"/>
    </w:rPr>
  </w:style>
  <w:style w:type="character" w:customStyle="1" w:styleId="51">
    <w:name w:val="明显强调1"/>
    <w:autoRedefine/>
    <w:qFormat/>
    <w:uiPriority w:val="0"/>
    <w:rPr>
      <w:b/>
      <w:i/>
      <w:sz w:val="24"/>
      <w:szCs w:val="24"/>
      <w:u w:val="single"/>
    </w:rPr>
  </w:style>
  <w:style w:type="character" w:customStyle="1" w:styleId="52">
    <w:name w:val="不明显参考1"/>
    <w:autoRedefine/>
    <w:qFormat/>
    <w:uiPriority w:val="0"/>
    <w:rPr>
      <w:sz w:val="24"/>
      <w:szCs w:val="24"/>
      <w:u w:val="single"/>
    </w:rPr>
  </w:style>
  <w:style w:type="character" w:customStyle="1" w:styleId="53">
    <w:name w:val="明显引用 字符"/>
    <w:link w:val="54"/>
    <w:autoRedefine/>
    <w:qFormat/>
    <w:uiPriority w:val="0"/>
    <w:rPr>
      <w:b/>
      <w:i/>
      <w:sz w:val="24"/>
    </w:rPr>
  </w:style>
  <w:style w:type="paragraph" w:styleId="54">
    <w:name w:val="Intense Quote"/>
    <w:basedOn w:val="1"/>
    <w:next w:val="1"/>
    <w:link w:val="53"/>
    <w:autoRedefine/>
    <w:qFormat/>
    <w:uiPriority w:val="0"/>
    <w:pPr>
      <w:ind w:left="720" w:right="720"/>
    </w:pPr>
    <w:rPr>
      <w:b/>
      <w:i/>
      <w:szCs w:val="20"/>
      <w:lang w:bidi="ar-SA"/>
    </w:rPr>
  </w:style>
  <w:style w:type="paragraph" w:styleId="55">
    <w:name w:val="List Paragraph"/>
    <w:basedOn w:val="1"/>
    <w:autoRedefine/>
    <w:qFormat/>
    <w:uiPriority w:val="99"/>
    <w:pPr>
      <w:ind w:left="720"/>
    </w:pPr>
  </w:style>
  <w:style w:type="paragraph" w:customStyle="1" w:styleId="56">
    <w:name w:val="TOC 标题1"/>
    <w:basedOn w:val="2"/>
    <w:next w:val="1"/>
    <w:autoRedefine/>
    <w:qFormat/>
    <w:uiPriority w:val="0"/>
    <w:pPr>
      <w:outlineLvl w:val="9"/>
    </w:pPr>
  </w:style>
  <w:style w:type="paragraph" w:customStyle="1" w:styleId="57">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58">
    <w:name w:val="No Spacing"/>
    <w:basedOn w:val="1"/>
    <w:autoRedefine/>
    <w:qFormat/>
    <w:uiPriority w:val="0"/>
    <w:rPr>
      <w:szCs w:val="32"/>
    </w:rPr>
  </w:style>
  <w:style w:type="paragraph" w:customStyle="1" w:styleId="59">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60">
    <w:name w:val="段"/>
    <w:link w:val="6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61">
    <w:name w:val="段 Char"/>
    <w:link w:val="60"/>
    <w:autoRedefine/>
    <w:qFormat/>
    <w:uiPriority w:val="0"/>
    <w:rPr>
      <w:rFonts w:ascii="宋体"/>
      <w:sz w:val="21"/>
    </w:rPr>
  </w:style>
  <w:style w:type="paragraph" w:customStyle="1" w:styleId="62">
    <w:name w:val="修订1"/>
    <w:autoRedefine/>
    <w:hidden/>
    <w:unhideWhenUsed/>
    <w:qFormat/>
    <w:uiPriority w:val="99"/>
    <w:rPr>
      <w:rFonts w:ascii="Times New Roman" w:hAnsi="Times New Roman" w:eastAsia="宋体" w:cs="Times New Roman"/>
      <w:sz w:val="24"/>
      <w:szCs w:val="24"/>
      <w:lang w:val="en-US" w:eastAsia="en-US" w:bidi="en-US"/>
    </w:rPr>
  </w:style>
  <w:style w:type="paragraph" w:customStyle="1" w:styleId="63">
    <w:name w:val="标准文件_段"/>
    <w:link w:val="6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4">
    <w:name w:val="标准文件_段 Char"/>
    <w:link w:val="63"/>
    <w:autoRedefine/>
    <w:qFormat/>
    <w:uiPriority w:val="0"/>
    <w:rPr>
      <w:rFonts w:ascii="宋体"/>
      <w:sz w:val="21"/>
    </w:rPr>
  </w:style>
  <w:style w:type="paragraph" w:customStyle="1" w:styleId="65">
    <w:name w:val="标准文件_二级条标题"/>
    <w:next w:val="63"/>
    <w:autoRedefine/>
    <w:qFormat/>
    <w:uiPriority w:val="0"/>
    <w:pPr>
      <w:widowControl w:val="0"/>
      <w:numPr>
        <w:ilvl w:val="3"/>
        <w:numId w:val="1"/>
      </w:numPr>
      <w:spacing w:beforeLines="50" w:afterLines="50"/>
      <w:ind w:left="284"/>
      <w:jc w:val="both"/>
      <w:outlineLvl w:val="2"/>
    </w:pPr>
    <w:rPr>
      <w:rFonts w:ascii="黑体" w:hAnsi="Times New Roman" w:eastAsia="黑体" w:cs="Times New Roman"/>
      <w:sz w:val="21"/>
      <w:lang w:val="en-US" w:eastAsia="zh-CN" w:bidi="ar-SA"/>
    </w:rPr>
  </w:style>
  <w:style w:type="paragraph" w:customStyle="1" w:styleId="66">
    <w:name w:val="标准文件_三级条标题"/>
    <w:basedOn w:val="65"/>
    <w:next w:val="63"/>
    <w:autoRedefine/>
    <w:qFormat/>
    <w:uiPriority w:val="0"/>
    <w:pPr>
      <w:widowControl/>
      <w:numPr>
        <w:ilvl w:val="4"/>
      </w:numPr>
      <w:outlineLvl w:val="3"/>
    </w:pPr>
  </w:style>
  <w:style w:type="paragraph" w:customStyle="1" w:styleId="67">
    <w:name w:val="标准文件_四级条标题"/>
    <w:next w:val="63"/>
    <w:autoRedefine/>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68">
    <w:name w:val="标准文件_五级条标题"/>
    <w:next w:val="63"/>
    <w:autoRedefine/>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69">
    <w:name w:val="标准文件_章标题"/>
    <w:next w:val="63"/>
    <w:autoRedefine/>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70">
    <w:name w:val="标准文件_一级条标题"/>
    <w:basedOn w:val="69"/>
    <w:next w:val="63"/>
    <w:autoRedefine/>
    <w:qFormat/>
    <w:uiPriority w:val="0"/>
    <w:pPr>
      <w:numPr>
        <w:ilvl w:val="2"/>
      </w:numPr>
      <w:spacing w:beforeLines="50" w:afterLines="50"/>
      <w:ind w:left="142"/>
      <w:outlineLvl w:val="1"/>
    </w:pPr>
  </w:style>
  <w:style w:type="paragraph" w:customStyle="1" w:styleId="71">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72">
    <w:name w:val="标准文件_术语条一"/>
    <w:basedOn w:val="1"/>
    <w:next w:val="63"/>
    <w:autoRedefine/>
    <w:qFormat/>
    <w:uiPriority w:val="0"/>
    <w:pPr>
      <w:numPr>
        <w:ilvl w:val="2"/>
        <w:numId w:val="2"/>
      </w:numPr>
      <w:jc w:val="both"/>
    </w:pPr>
    <w:rPr>
      <w:rFonts w:ascii="宋体"/>
      <w:sz w:val="21"/>
      <w:szCs w:val="20"/>
      <w:lang w:eastAsia="zh-CN" w:bidi="ar-SA"/>
    </w:rPr>
  </w:style>
  <w:style w:type="character" w:customStyle="1" w:styleId="73">
    <w:name w:val="index"/>
    <w:basedOn w:val="24"/>
    <w:autoRedefine/>
    <w:qFormat/>
    <w:uiPriority w:val="0"/>
  </w:style>
  <w:style w:type="character" w:customStyle="1" w:styleId="74">
    <w:name w:val="cos-color-text-em"/>
    <w:basedOn w:val="24"/>
    <w:autoRedefine/>
    <w:qFormat/>
    <w:uiPriority w:val="0"/>
  </w:style>
  <w:style w:type="paragraph" w:customStyle="1" w:styleId="75">
    <w:name w:val="016正文"/>
    <w:basedOn w:val="1"/>
    <w:autoRedefine/>
    <w:qFormat/>
    <w:uiPriority w:val="0"/>
    <w:pPr>
      <w:ind w:firstLine="200" w:firstLineChars="200"/>
      <w:jc w:val="both"/>
    </w:pPr>
    <w:rPr>
      <w:rFonts w:cstheme="minorBidi"/>
      <w:color w:val="000000"/>
      <w:szCs w:val="21"/>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2C1CC5-9DA0-46F0-AD95-18B63250752D}">
  <ds:schemaRefs/>
</ds:datastoreItem>
</file>

<file path=docProps/app.xml><?xml version="1.0" encoding="utf-8"?>
<Properties xmlns="http://schemas.openxmlformats.org/officeDocument/2006/extended-properties" xmlns:vt="http://schemas.openxmlformats.org/officeDocument/2006/docPropsVTypes">
  <Template>Normal</Template>
  <Company>nicpbp</Company>
  <Pages>22</Pages>
  <Words>9644</Words>
  <Characters>14517</Characters>
  <Lines>205</Lines>
  <Paragraphs>57</Paragraphs>
  <TotalTime>152</TotalTime>
  <ScaleCrop>false</ScaleCrop>
  <LinksUpToDate>false</LinksUpToDate>
  <CharactersWithSpaces>15542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2024-01-27T03:22:00Z</dcterms:created>
  <dc:creator>ypf</dc:creator>
  <cp:lastModifiedBy>耳东火华 </cp:lastModifiedBy>
  <cp:lastPrinted>2023-12-09T00:56:00Z</cp:lastPrinted>
  <dcterms:modified xsi:type="dcterms:W3CDTF">2024-07-08T03:18:20Z</dcterms:modified>
  <dc:title>ICS  65</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FE0DA033BFE14EB6A7AA62BED8032826</vt:lpwstr>
  </property>
</Properties>
</file>